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E8177" w14:textId="77777777" w:rsidR="00CA2041" w:rsidRDefault="00CA2041">
      <w:pPr>
        <w:pStyle w:val="BodyText"/>
        <w:spacing w:before="11"/>
        <w:ind w:left="0"/>
        <w:rPr>
          <w:rFonts w:ascii="Times New Roman"/>
          <w:sz w:val="28"/>
        </w:rPr>
      </w:pPr>
    </w:p>
    <w:p w14:paraId="7126D567" w14:textId="488341CC" w:rsidR="00CA2041" w:rsidRPr="00BA4835" w:rsidRDefault="006705E5" w:rsidP="00BA4835">
      <w:pPr>
        <w:pStyle w:val="Title"/>
        <w:rPr>
          <w:rFonts w:ascii="Arial Rounded MT Bold" w:hAnsi="Arial Rounded MT Bold"/>
          <w:b w:val="0"/>
          <w:bCs w:val="0"/>
          <w:color w:val="007B90"/>
          <w:sz w:val="28"/>
          <w:szCs w:val="28"/>
        </w:rPr>
      </w:pPr>
      <w:r w:rsidRPr="00BA4835">
        <w:rPr>
          <w:rFonts w:ascii="Arial Rounded MT Bold" w:hAnsi="Arial Rounded MT Bold"/>
          <w:b w:val="0"/>
          <w:bCs w:val="0"/>
          <w:color w:val="007B90"/>
          <w:sz w:val="28"/>
          <w:szCs w:val="28"/>
        </w:rPr>
        <w:t>Fidelity Reviews:</w:t>
      </w:r>
      <w:r w:rsidR="00BA4835" w:rsidRPr="00BA4835">
        <w:rPr>
          <w:rFonts w:ascii="Arial Rounded MT Bold" w:hAnsi="Arial Rounded MT Bold"/>
          <w:b w:val="0"/>
          <w:bCs w:val="0"/>
          <w:color w:val="007B90"/>
          <w:sz w:val="28"/>
          <w:szCs w:val="28"/>
        </w:rPr>
        <w:t xml:space="preserve"> </w:t>
      </w:r>
      <w:r w:rsidRPr="00BA4835">
        <w:rPr>
          <w:rFonts w:ascii="Arial Rounded MT Bold" w:hAnsi="Arial Rounded MT Bold"/>
          <w:b w:val="0"/>
          <w:bCs w:val="0"/>
          <w:color w:val="007B90"/>
          <w:w w:val="105"/>
          <w:sz w:val="28"/>
          <w:szCs w:val="28"/>
        </w:rPr>
        <w:t>Information Governance and Data</w:t>
      </w:r>
      <w:r w:rsidRPr="00BA4835">
        <w:rPr>
          <w:rFonts w:ascii="Arial Rounded MT Bold" w:hAnsi="Arial Rounded MT Bold"/>
          <w:b w:val="0"/>
          <w:bCs w:val="0"/>
          <w:color w:val="007B90"/>
          <w:spacing w:val="-58"/>
          <w:w w:val="105"/>
          <w:sz w:val="28"/>
          <w:szCs w:val="28"/>
        </w:rPr>
        <w:t xml:space="preserve"> </w:t>
      </w:r>
      <w:r w:rsidRPr="00BA4835">
        <w:rPr>
          <w:rFonts w:ascii="Arial Rounded MT Bold" w:hAnsi="Arial Rounded MT Bold"/>
          <w:b w:val="0"/>
          <w:bCs w:val="0"/>
          <w:color w:val="007B90"/>
          <w:w w:val="105"/>
          <w:sz w:val="28"/>
          <w:szCs w:val="28"/>
        </w:rPr>
        <w:t>Security</w:t>
      </w:r>
    </w:p>
    <w:p w14:paraId="176F9B04" w14:textId="77777777" w:rsidR="00CA2041" w:rsidRDefault="00CA2041">
      <w:pPr>
        <w:pStyle w:val="BodyText"/>
        <w:spacing w:before="6"/>
        <w:ind w:left="0"/>
        <w:rPr>
          <w:rFonts w:ascii="Arial"/>
          <w:b/>
          <w:sz w:val="28"/>
        </w:rPr>
      </w:pPr>
    </w:p>
    <w:p w14:paraId="0D936B8F" w14:textId="277EE7C2" w:rsidR="00BA4835" w:rsidRPr="00BA4835" w:rsidRDefault="00BA4835" w:rsidP="00BA4835">
      <w:pPr>
        <w:pStyle w:val="BodyText"/>
        <w:spacing w:line="259" w:lineRule="auto"/>
        <w:ind w:right="114"/>
        <w:jc w:val="both"/>
        <w:rPr>
          <w:rFonts w:ascii="Arial" w:hAnsi="Arial" w:cs="Arial"/>
          <w:b/>
          <w:bCs/>
        </w:rPr>
      </w:pPr>
      <w:r w:rsidRPr="00BA4835">
        <w:rPr>
          <w:rFonts w:ascii="Arial" w:hAnsi="Arial" w:cs="Arial"/>
          <w:b/>
          <w:bCs/>
        </w:rPr>
        <w:t xml:space="preserve">Introduction: </w:t>
      </w:r>
      <w:r w:rsidRPr="00BA4835">
        <w:rPr>
          <w:rFonts w:ascii="Arial" w:hAnsi="Arial" w:cs="Arial"/>
          <w:b/>
          <w:bCs/>
        </w:rPr>
        <w:t>Who are IPS Grow and what is fidelity review?</w:t>
      </w:r>
    </w:p>
    <w:p w14:paraId="5C6638EA" w14:textId="77777777" w:rsidR="00BA4835" w:rsidRPr="00BA4835" w:rsidRDefault="00BA4835" w:rsidP="00BA4835">
      <w:pPr>
        <w:pStyle w:val="BodyText"/>
        <w:spacing w:line="259" w:lineRule="auto"/>
        <w:ind w:right="114"/>
        <w:jc w:val="both"/>
        <w:rPr>
          <w:rFonts w:ascii="Arial" w:hAnsi="Arial" w:cs="Arial"/>
        </w:rPr>
      </w:pPr>
    </w:p>
    <w:p w14:paraId="2F9AA85E" w14:textId="6A43C375" w:rsidR="00CA2041" w:rsidRPr="00BA4835" w:rsidRDefault="006705E5">
      <w:pPr>
        <w:pStyle w:val="Heading1"/>
        <w:spacing w:line="403" w:lineRule="auto"/>
        <w:ind w:right="3500"/>
        <w:jc w:val="both"/>
        <w:rPr>
          <w:rFonts w:ascii="Arial" w:hAnsi="Arial" w:cs="Arial"/>
          <w:color w:val="000000" w:themeColor="text1"/>
        </w:rPr>
      </w:pPr>
      <w:r w:rsidRPr="00BA4835">
        <w:rPr>
          <w:rFonts w:ascii="Arial" w:hAnsi="Arial" w:cs="Arial"/>
          <w:color w:val="000000" w:themeColor="text1"/>
        </w:rPr>
        <w:t>What is Individual Placement and Support (IPS)?</w:t>
      </w:r>
    </w:p>
    <w:p w14:paraId="5B39F5AA" w14:textId="32FD753D" w:rsidR="00CA2041" w:rsidRDefault="006705E5">
      <w:pPr>
        <w:pStyle w:val="BodyText"/>
        <w:spacing w:line="259" w:lineRule="auto"/>
        <w:ind w:right="114"/>
        <w:jc w:val="both"/>
        <w:rPr>
          <w:rFonts w:ascii="Arial" w:hAnsi="Arial" w:cs="Arial"/>
        </w:rPr>
      </w:pPr>
      <w:r w:rsidRPr="00BA4835">
        <w:rPr>
          <w:rFonts w:ascii="Arial" w:hAnsi="Arial" w:cs="Arial"/>
        </w:rPr>
        <w:t>The</w:t>
      </w:r>
      <w:r w:rsidRPr="00BA4835">
        <w:rPr>
          <w:rFonts w:ascii="Arial" w:hAnsi="Arial" w:cs="Arial"/>
          <w:spacing w:val="-11"/>
        </w:rPr>
        <w:t xml:space="preserve"> </w:t>
      </w:r>
      <w:r w:rsidRPr="00BA4835">
        <w:rPr>
          <w:rFonts w:ascii="Arial" w:hAnsi="Arial" w:cs="Arial"/>
        </w:rPr>
        <w:t>IPS</w:t>
      </w:r>
      <w:r w:rsidRPr="00BA4835">
        <w:rPr>
          <w:rFonts w:ascii="Arial" w:hAnsi="Arial" w:cs="Arial"/>
          <w:spacing w:val="-12"/>
        </w:rPr>
        <w:t xml:space="preserve"> </w:t>
      </w:r>
      <w:r w:rsidRPr="00BA4835">
        <w:rPr>
          <w:rFonts w:ascii="Arial" w:hAnsi="Arial" w:cs="Arial"/>
        </w:rPr>
        <w:t>approach</w:t>
      </w:r>
      <w:r w:rsidRPr="00BA4835">
        <w:rPr>
          <w:rFonts w:ascii="Arial" w:hAnsi="Arial" w:cs="Arial"/>
          <w:spacing w:val="-14"/>
        </w:rPr>
        <w:t xml:space="preserve"> </w:t>
      </w:r>
      <w:r w:rsidRPr="00BA4835">
        <w:rPr>
          <w:rFonts w:ascii="Arial" w:hAnsi="Arial" w:cs="Arial"/>
        </w:rPr>
        <w:t>involves</w:t>
      </w:r>
      <w:r w:rsidRPr="00BA4835">
        <w:rPr>
          <w:rFonts w:ascii="Arial" w:hAnsi="Arial" w:cs="Arial"/>
          <w:spacing w:val="-12"/>
        </w:rPr>
        <w:t xml:space="preserve"> </w:t>
      </w:r>
      <w:r w:rsidRPr="00BA4835">
        <w:rPr>
          <w:rFonts w:ascii="Arial" w:hAnsi="Arial" w:cs="Arial"/>
        </w:rPr>
        <w:t>integrating</w:t>
      </w:r>
      <w:r w:rsidRPr="00BA4835">
        <w:rPr>
          <w:rFonts w:ascii="Arial" w:hAnsi="Arial" w:cs="Arial"/>
          <w:spacing w:val="-12"/>
        </w:rPr>
        <w:t xml:space="preserve"> </w:t>
      </w:r>
      <w:r w:rsidRPr="00BA4835">
        <w:rPr>
          <w:rFonts w:ascii="Arial" w:hAnsi="Arial" w:cs="Arial"/>
        </w:rPr>
        <w:t>Employment</w:t>
      </w:r>
      <w:r w:rsidRPr="00BA4835">
        <w:rPr>
          <w:rFonts w:ascii="Arial" w:hAnsi="Arial" w:cs="Arial"/>
          <w:spacing w:val="-12"/>
        </w:rPr>
        <w:t xml:space="preserve"> </w:t>
      </w:r>
      <w:r w:rsidRPr="00BA4835">
        <w:rPr>
          <w:rFonts w:ascii="Arial" w:hAnsi="Arial" w:cs="Arial"/>
        </w:rPr>
        <w:t>Specialists</w:t>
      </w:r>
      <w:r w:rsidRPr="00BA4835">
        <w:rPr>
          <w:rFonts w:ascii="Arial" w:hAnsi="Arial" w:cs="Arial"/>
          <w:spacing w:val="-13"/>
        </w:rPr>
        <w:t xml:space="preserve"> </w:t>
      </w:r>
      <w:r w:rsidRPr="00BA4835">
        <w:rPr>
          <w:rFonts w:ascii="Arial" w:hAnsi="Arial" w:cs="Arial"/>
        </w:rPr>
        <w:t>into</w:t>
      </w:r>
      <w:r w:rsidRPr="00BA4835">
        <w:rPr>
          <w:rFonts w:ascii="Arial" w:hAnsi="Arial" w:cs="Arial"/>
          <w:spacing w:val="-10"/>
        </w:rPr>
        <w:t xml:space="preserve"> </w:t>
      </w:r>
      <w:r w:rsidRPr="00BA4835">
        <w:rPr>
          <w:rFonts w:ascii="Arial" w:hAnsi="Arial" w:cs="Arial"/>
        </w:rPr>
        <w:t>health</w:t>
      </w:r>
      <w:r w:rsidRPr="00BA4835">
        <w:rPr>
          <w:rFonts w:ascii="Arial" w:hAnsi="Arial" w:cs="Arial"/>
          <w:spacing w:val="-14"/>
        </w:rPr>
        <w:t xml:space="preserve"> </w:t>
      </w:r>
      <w:r w:rsidRPr="00BA4835">
        <w:rPr>
          <w:rFonts w:ascii="Arial" w:hAnsi="Arial" w:cs="Arial"/>
        </w:rPr>
        <w:t>teams,</w:t>
      </w:r>
      <w:r w:rsidRPr="00BA4835">
        <w:rPr>
          <w:rFonts w:ascii="Arial" w:hAnsi="Arial" w:cs="Arial"/>
          <w:spacing w:val="-15"/>
        </w:rPr>
        <w:t xml:space="preserve"> </w:t>
      </w:r>
      <w:r w:rsidRPr="00BA4835">
        <w:rPr>
          <w:rFonts w:ascii="Arial" w:hAnsi="Arial" w:cs="Arial"/>
        </w:rPr>
        <w:t>to</w:t>
      </w:r>
      <w:r w:rsidRPr="00BA4835">
        <w:rPr>
          <w:rFonts w:ascii="Arial" w:hAnsi="Arial" w:cs="Arial"/>
          <w:spacing w:val="-12"/>
        </w:rPr>
        <w:t xml:space="preserve"> </w:t>
      </w:r>
      <w:r w:rsidRPr="00BA4835">
        <w:rPr>
          <w:rFonts w:ascii="Arial" w:hAnsi="Arial" w:cs="Arial"/>
        </w:rPr>
        <w:t>help</w:t>
      </w:r>
      <w:r w:rsidRPr="00BA4835">
        <w:rPr>
          <w:rFonts w:ascii="Arial" w:hAnsi="Arial" w:cs="Arial"/>
          <w:spacing w:val="-13"/>
        </w:rPr>
        <w:t xml:space="preserve"> </w:t>
      </w:r>
      <w:r w:rsidRPr="00BA4835">
        <w:rPr>
          <w:rFonts w:ascii="Arial" w:hAnsi="Arial" w:cs="Arial"/>
        </w:rPr>
        <w:t>them</w:t>
      </w:r>
      <w:r w:rsidRPr="00BA4835">
        <w:rPr>
          <w:rFonts w:ascii="Arial" w:hAnsi="Arial" w:cs="Arial"/>
          <w:spacing w:val="-10"/>
        </w:rPr>
        <w:t xml:space="preserve"> </w:t>
      </w:r>
      <w:r w:rsidRPr="00BA4835">
        <w:rPr>
          <w:rFonts w:ascii="Arial" w:hAnsi="Arial" w:cs="Arial"/>
        </w:rPr>
        <w:t>become more effective at supporting individuals to access paid employment as part of their recovery plan. NHS England (NHSE) has made a commitment to expand access to IPS as part of the Long-term plan, and fidelity reviews are essential</w:t>
      </w:r>
      <w:r w:rsidRPr="00BA4835">
        <w:rPr>
          <w:rFonts w:ascii="Arial" w:hAnsi="Arial" w:cs="Arial"/>
        </w:rPr>
        <w:t xml:space="preserve"> in ensuring services are delivered to a high standard and support increases in paid employment outcomes for</w:t>
      </w:r>
      <w:r w:rsidRPr="00BA4835">
        <w:rPr>
          <w:rFonts w:ascii="Arial" w:hAnsi="Arial" w:cs="Arial"/>
          <w:spacing w:val="-4"/>
        </w:rPr>
        <w:t xml:space="preserve"> </w:t>
      </w:r>
      <w:r w:rsidRPr="00BA4835">
        <w:rPr>
          <w:rFonts w:ascii="Arial" w:hAnsi="Arial" w:cs="Arial"/>
        </w:rPr>
        <w:t>clients.</w:t>
      </w:r>
    </w:p>
    <w:p w14:paraId="40877BB4" w14:textId="28A17A5D" w:rsidR="00BA4835" w:rsidRDefault="00BA4835">
      <w:pPr>
        <w:pStyle w:val="BodyText"/>
        <w:spacing w:line="259" w:lineRule="auto"/>
        <w:ind w:right="114"/>
        <w:jc w:val="both"/>
        <w:rPr>
          <w:rFonts w:ascii="Arial" w:hAnsi="Arial" w:cs="Arial"/>
        </w:rPr>
      </w:pPr>
    </w:p>
    <w:p w14:paraId="59925A97" w14:textId="77777777" w:rsidR="00CA2041" w:rsidRPr="00BA4835" w:rsidRDefault="006705E5">
      <w:pPr>
        <w:pStyle w:val="BodyText"/>
        <w:spacing w:before="156" w:line="259" w:lineRule="auto"/>
        <w:ind w:right="114"/>
        <w:jc w:val="both"/>
        <w:rPr>
          <w:rFonts w:ascii="Arial" w:hAnsi="Arial" w:cs="Arial"/>
        </w:rPr>
      </w:pPr>
      <w:r w:rsidRPr="00BA4835">
        <w:rPr>
          <w:rFonts w:ascii="Arial" w:hAnsi="Arial" w:cs="Arial"/>
        </w:rPr>
        <w:t>IPS is backed by over 30 years of research and 27 successful RCTs as the most effective model in supporting people with mental health prob</w:t>
      </w:r>
      <w:r w:rsidRPr="00BA4835">
        <w:rPr>
          <w:rFonts w:ascii="Arial" w:hAnsi="Arial" w:cs="Arial"/>
        </w:rPr>
        <w:t>lems and/or drug and alcohol problems into paid employment</w:t>
      </w:r>
      <w:r w:rsidRPr="00BA4835">
        <w:rPr>
          <w:rFonts w:ascii="Arial" w:hAnsi="Arial" w:cs="Arial"/>
          <w:vertAlign w:val="superscript"/>
        </w:rPr>
        <w:t>1</w:t>
      </w:r>
      <w:r w:rsidRPr="00BA4835">
        <w:rPr>
          <w:rFonts w:ascii="Arial" w:hAnsi="Arial" w:cs="Arial"/>
        </w:rPr>
        <w:t>.</w:t>
      </w:r>
      <w:r w:rsidRPr="00BA4835">
        <w:rPr>
          <w:rFonts w:ascii="Arial" w:hAnsi="Arial" w:cs="Arial"/>
          <w:spacing w:val="39"/>
        </w:rPr>
        <w:t xml:space="preserve"> </w:t>
      </w:r>
      <w:r w:rsidRPr="00BA4835">
        <w:rPr>
          <w:rFonts w:ascii="Arial" w:hAnsi="Arial" w:cs="Arial"/>
        </w:rPr>
        <w:t>It</w:t>
      </w:r>
      <w:r w:rsidRPr="00BA4835">
        <w:rPr>
          <w:rFonts w:ascii="Arial" w:hAnsi="Arial" w:cs="Arial"/>
          <w:spacing w:val="-5"/>
        </w:rPr>
        <w:t xml:space="preserve"> </w:t>
      </w:r>
      <w:r w:rsidRPr="00BA4835">
        <w:rPr>
          <w:rFonts w:ascii="Arial" w:hAnsi="Arial" w:cs="Arial"/>
        </w:rPr>
        <w:t>is</w:t>
      </w:r>
      <w:r w:rsidRPr="00BA4835">
        <w:rPr>
          <w:rFonts w:ascii="Arial" w:hAnsi="Arial" w:cs="Arial"/>
          <w:spacing w:val="-6"/>
        </w:rPr>
        <w:t xml:space="preserve"> </w:t>
      </w:r>
      <w:r w:rsidRPr="00BA4835">
        <w:rPr>
          <w:rFonts w:ascii="Arial" w:hAnsi="Arial" w:cs="Arial"/>
        </w:rPr>
        <w:t>also</w:t>
      </w:r>
      <w:r w:rsidRPr="00BA4835">
        <w:rPr>
          <w:rFonts w:ascii="Arial" w:hAnsi="Arial" w:cs="Arial"/>
          <w:spacing w:val="-4"/>
        </w:rPr>
        <w:t xml:space="preserve"> </w:t>
      </w:r>
      <w:r w:rsidRPr="00BA4835">
        <w:rPr>
          <w:rFonts w:ascii="Arial" w:hAnsi="Arial" w:cs="Arial"/>
        </w:rPr>
        <w:t>increasingly</w:t>
      </w:r>
      <w:r w:rsidRPr="00BA4835">
        <w:rPr>
          <w:rFonts w:ascii="Arial" w:hAnsi="Arial" w:cs="Arial"/>
          <w:spacing w:val="-5"/>
        </w:rPr>
        <w:t xml:space="preserve"> </w:t>
      </w:r>
      <w:r w:rsidRPr="00BA4835">
        <w:rPr>
          <w:rFonts w:ascii="Arial" w:hAnsi="Arial" w:cs="Arial"/>
        </w:rPr>
        <w:t>being</w:t>
      </w:r>
      <w:r w:rsidRPr="00BA4835">
        <w:rPr>
          <w:rFonts w:ascii="Arial" w:hAnsi="Arial" w:cs="Arial"/>
          <w:spacing w:val="-5"/>
        </w:rPr>
        <w:t xml:space="preserve"> </w:t>
      </w:r>
      <w:r w:rsidRPr="00BA4835">
        <w:rPr>
          <w:rFonts w:ascii="Arial" w:hAnsi="Arial" w:cs="Arial"/>
        </w:rPr>
        <w:t>applied</w:t>
      </w:r>
      <w:r w:rsidRPr="00BA4835">
        <w:rPr>
          <w:rFonts w:ascii="Arial" w:hAnsi="Arial" w:cs="Arial"/>
          <w:spacing w:val="-6"/>
        </w:rPr>
        <w:t xml:space="preserve"> </w:t>
      </w:r>
      <w:r w:rsidRPr="00BA4835">
        <w:rPr>
          <w:rFonts w:ascii="Arial" w:hAnsi="Arial" w:cs="Arial"/>
        </w:rPr>
        <w:t>to</w:t>
      </w:r>
      <w:r w:rsidRPr="00BA4835">
        <w:rPr>
          <w:rFonts w:ascii="Arial" w:hAnsi="Arial" w:cs="Arial"/>
          <w:spacing w:val="-5"/>
        </w:rPr>
        <w:t xml:space="preserve"> </w:t>
      </w:r>
      <w:r w:rsidRPr="00BA4835">
        <w:rPr>
          <w:rFonts w:ascii="Arial" w:hAnsi="Arial" w:cs="Arial"/>
        </w:rPr>
        <w:t>wider</w:t>
      </w:r>
      <w:r w:rsidRPr="00BA4835">
        <w:rPr>
          <w:rFonts w:ascii="Arial" w:hAnsi="Arial" w:cs="Arial"/>
          <w:spacing w:val="-5"/>
        </w:rPr>
        <w:t xml:space="preserve"> </w:t>
      </w:r>
      <w:r w:rsidRPr="00BA4835">
        <w:rPr>
          <w:rFonts w:ascii="Arial" w:hAnsi="Arial" w:cs="Arial"/>
        </w:rPr>
        <w:t>client</w:t>
      </w:r>
      <w:r w:rsidRPr="00BA4835">
        <w:rPr>
          <w:rFonts w:ascii="Arial" w:hAnsi="Arial" w:cs="Arial"/>
          <w:spacing w:val="-4"/>
        </w:rPr>
        <w:t xml:space="preserve"> </w:t>
      </w:r>
      <w:r w:rsidRPr="00BA4835">
        <w:rPr>
          <w:rFonts w:ascii="Arial" w:hAnsi="Arial" w:cs="Arial"/>
        </w:rPr>
        <w:t>groups,</w:t>
      </w:r>
      <w:r w:rsidRPr="00BA4835">
        <w:rPr>
          <w:rFonts w:ascii="Arial" w:hAnsi="Arial" w:cs="Arial"/>
          <w:spacing w:val="-8"/>
        </w:rPr>
        <w:t xml:space="preserve"> </w:t>
      </w:r>
      <w:r w:rsidRPr="00BA4835">
        <w:rPr>
          <w:rFonts w:ascii="Arial" w:hAnsi="Arial" w:cs="Arial"/>
        </w:rPr>
        <w:t>such</w:t>
      </w:r>
      <w:r w:rsidRPr="00BA4835">
        <w:rPr>
          <w:rFonts w:ascii="Arial" w:hAnsi="Arial" w:cs="Arial"/>
          <w:spacing w:val="-6"/>
        </w:rPr>
        <w:t xml:space="preserve"> </w:t>
      </w:r>
      <w:r w:rsidRPr="00BA4835">
        <w:rPr>
          <w:rFonts w:ascii="Arial" w:hAnsi="Arial" w:cs="Arial"/>
        </w:rPr>
        <w:t>as</w:t>
      </w:r>
      <w:r w:rsidRPr="00BA4835">
        <w:rPr>
          <w:rFonts w:ascii="Arial" w:hAnsi="Arial" w:cs="Arial"/>
          <w:spacing w:val="-8"/>
        </w:rPr>
        <w:t xml:space="preserve"> </w:t>
      </w:r>
      <w:r w:rsidRPr="00BA4835">
        <w:rPr>
          <w:rFonts w:ascii="Arial" w:hAnsi="Arial" w:cs="Arial"/>
        </w:rPr>
        <w:t>people</w:t>
      </w:r>
      <w:r w:rsidRPr="00BA4835">
        <w:rPr>
          <w:rFonts w:ascii="Arial" w:hAnsi="Arial" w:cs="Arial"/>
          <w:spacing w:val="-7"/>
        </w:rPr>
        <w:t xml:space="preserve"> </w:t>
      </w:r>
      <w:r w:rsidRPr="00BA4835">
        <w:rPr>
          <w:rFonts w:ascii="Arial" w:hAnsi="Arial" w:cs="Arial"/>
        </w:rPr>
        <w:t>with</w:t>
      </w:r>
      <w:r w:rsidRPr="00BA4835">
        <w:rPr>
          <w:rFonts w:ascii="Arial" w:hAnsi="Arial" w:cs="Arial"/>
          <w:spacing w:val="-6"/>
        </w:rPr>
        <w:t xml:space="preserve"> </w:t>
      </w:r>
      <w:r w:rsidRPr="00BA4835">
        <w:rPr>
          <w:rFonts w:ascii="Arial" w:hAnsi="Arial" w:cs="Arial"/>
        </w:rPr>
        <w:t>physical health</w:t>
      </w:r>
      <w:r w:rsidRPr="00BA4835">
        <w:rPr>
          <w:rFonts w:ascii="Arial" w:hAnsi="Arial" w:cs="Arial"/>
          <w:spacing w:val="-1"/>
        </w:rPr>
        <w:t xml:space="preserve"> </w:t>
      </w:r>
      <w:r w:rsidRPr="00BA4835">
        <w:rPr>
          <w:rFonts w:ascii="Arial" w:hAnsi="Arial" w:cs="Arial"/>
        </w:rPr>
        <w:t>problems.</w:t>
      </w:r>
    </w:p>
    <w:p w14:paraId="5EAA38E8" w14:textId="77777777" w:rsidR="00CA2041" w:rsidRPr="00BA4835" w:rsidRDefault="006705E5">
      <w:pPr>
        <w:pStyle w:val="Heading1"/>
        <w:spacing w:before="160"/>
        <w:rPr>
          <w:rFonts w:ascii="Arial" w:hAnsi="Arial" w:cs="Arial"/>
        </w:rPr>
      </w:pPr>
      <w:r w:rsidRPr="00BA4835">
        <w:rPr>
          <w:rFonts w:ascii="Arial" w:hAnsi="Arial" w:cs="Arial"/>
        </w:rPr>
        <w:t>What is the role of IPS Grow?</w:t>
      </w:r>
    </w:p>
    <w:p w14:paraId="43560542" w14:textId="77777777" w:rsidR="00CA2041" w:rsidRPr="00BA4835" w:rsidRDefault="006705E5">
      <w:pPr>
        <w:pStyle w:val="BodyText"/>
        <w:spacing w:before="183" w:line="259" w:lineRule="auto"/>
        <w:ind w:right="114"/>
        <w:jc w:val="both"/>
        <w:rPr>
          <w:rFonts w:ascii="Arial" w:hAnsi="Arial" w:cs="Arial"/>
        </w:rPr>
      </w:pPr>
      <w:r w:rsidRPr="00BA4835">
        <w:rPr>
          <w:rFonts w:ascii="Arial" w:hAnsi="Arial" w:cs="Arial"/>
        </w:rPr>
        <w:t>IPS Grow are commissioned by NHSE to provide implementation support to help IPS services achieve high</w:t>
      </w:r>
      <w:r w:rsidRPr="00BA4835">
        <w:rPr>
          <w:rFonts w:ascii="Arial" w:hAnsi="Arial" w:cs="Arial"/>
          <w:spacing w:val="-9"/>
        </w:rPr>
        <w:t xml:space="preserve"> </w:t>
      </w:r>
      <w:r w:rsidRPr="00BA4835">
        <w:rPr>
          <w:rFonts w:ascii="Arial" w:hAnsi="Arial" w:cs="Arial"/>
        </w:rPr>
        <w:t>quality</w:t>
      </w:r>
      <w:r w:rsidRPr="00BA4835">
        <w:rPr>
          <w:rFonts w:ascii="Arial" w:hAnsi="Arial" w:cs="Arial"/>
          <w:spacing w:val="-7"/>
        </w:rPr>
        <w:t xml:space="preserve"> </w:t>
      </w:r>
      <w:r w:rsidRPr="00BA4835">
        <w:rPr>
          <w:rFonts w:ascii="Arial" w:hAnsi="Arial" w:cs="Arial"/>
        </w:rPr>
        <w:t>employment</w:t>
      </w:r>
      <w:r w:rsidRPr="00BA4835">
        <w:rPr>
          <w:rFonts w:ascii="Arial" w:hAnsi="Arial" w:cs="Arial"/>
          <w:spacing w:val="-10"/>
        </w:rPr>
        <w:t xml:space="preserve"> </w:t>
      </w:r>
      <w:r w:rsidRPr="00BA4835">
        <w:rPr>
          <w:rFonts w:ascii="Arial" w:hAnsi="Arial" w:cs="Arial"/>
        </w:rPr>
        <w:t>outcomes.</w:t>
      </w:r>
      <w:r w:rsidRPr="00BA4835">
        <w:rPr>
          <w:rFonts w:ascii="Arial" w:hAnsi="Arial" w:cs="Arial"/>
          <w:spacing w:val="32"/>
        </w:rPr>
        <w:t xml:space="preserve"> </w:t>
      </w:r>
      <w:r w:rsidRPr="00BA4835">
        <w:rPr>
          <w:rFonts w:ascii="Arial" w:hAnsi="Arial" w:cs="Arial"/>
        </w:rPr>
        <w:t>As</w:t>
      </w:r>
      <w:r w:rsidRPr="00BA4835">
        <w:rPr>
          <w:rFonts w:ascii="Arial" w:hAnsi="Arial" w:cs="Arial"/>
          <w:spacing w:val="-8"/>
        </w:rPr>
        <w:t xml:space="preserve"> </w:t>
      </w:r>
      <w:r w:rsidRPr="00BA4835">
        <w:rPr>
          <w:rFonts w:ascii="Arial" w:hAnsi="Arial" w:cs="Arial"/>
        </w:rPr>
        <w:t>part</w:t>
      </w:r>
      <w:r w:rsidRPr="00BA4835">
        <w:rPr>
          <w:rFonts w:ascii="Arial" w:hAnsi="Arial" w:cs="Arial"/>
          <w:spacing w:val="-10"/>
        </w:rPr>
        <w:t xml:space="preserve"> </w:t>
      </w:r>
      <w:r w:rsidRPr="00BA4835">
        <w:rPr>
          <w:rFonts w:ascii="Arial" w:hAnsi="Arial" w:cs="Arial"/>
        </w:rPr>
        <w:t>of</w:t>
      </w:r>
      <w:r w:rsidRPr="00BA4835">
        <w:rPr>
          <w:rFonts w:ascii="Arial" w:hAnsi="Arial" w:cs="Arial"/>
          <w:spacing w:val="-11"/>
        </w:rPr>
        <w:t xml:space="preserve"> </w:t>
      </w:r>
      <w:r w:rsidRPr="00BA4835">
        <w:rPr>
          <w:rFonts w:ascii="Arial" w:hAnsi="Arial" w:cs="Arial"/>
        </w:rPr>
        <w:t>this</w:t>
      </w:r>
      <w:r w:rsidRPr="00BA4835">
        <w:rPr>
          <w:rFonts w:ascii="Arial" w:hAnsi="Arial" w:cs="Arial"/>
          <w:spacing w:val="-8"/>
        </w:rPr>
        <w:t xml:space="preserve"> </w:t>
      </w:r>
      <w:r w:rsidRPr="00BA4835">
        <w:rPr>
          <w:rFonts w:ascii="Arial" w:hAnsi="Arial" w:cs="Arial"/>
        </w:rPr>
        <w:t>support,</w:t>
      </w:r>
      <w:r w:rsidRPr="00BA4835">
        <w:rPr>
          <w:rFonts w:ascii="Arial" w:hAnsi="Arial" w:cs="Arial"/>
          <w:spacing w:val="-10"/>
        </w:rPr>
        <w:t xml:space="preserve"> </w:t>
      </w:r>
      <w:r w:rsidRPr="00BA4835">
        <w:rPr>
          <w:rFonts w:ascii="Arial" w:hAnsi="Arial" w:cs="Arial"/>
        </w:rPr>
        <w:t>we</w:t>
      </w:r>
      <w:r w:rsidRPr="00BA4835">
        <w:rPr>
          <w:rFonts w:ascii="Arial" w:hAnsi="Arial" w:cs="Arial"/>
          <w:spacing w:val="-7"/>
        </w:rPr>
        <w:t xml:space="preserve"> </w:t>
      </w:r>
      <w:r w:rsidRPr="00BA4835">
        <w:rPr>
          <w:rFonts w:ascii="Arial" w:hAnsi="Arial" w:cs="Arial"/>
        </w:rPr>
        <w:t>deliver</w:t>
      </w:r>
      <w:r w:rsidRPr="00BA4835">
        <w:rPr>
          <w:rFonts w:ascii="Arial" w:hAnsi="Arial" w:cs="Arial"/>
          <w:spacing w:val="-10"/>
        </w:rPr>
        <w:t xml:space="preserve"> </w:t>
      </w:r>
      <w:r w:rsidRPr="00BA4835">
        <w:rPr>
          <w:rFonts w:ascii="Arial" w:hAnsi="Arial" w:cs="Arial"/>
        </w:rPr>
        <w:t>fidelity</w:t>
      </w:r>
      <w:r w:rsidRPr="00BA4835">
        <w:rPr>
          <w:rFonts w:ascii="Arial" w:hAnsi="Arial" w:cs="Arial"/>
          <w:spacing w:val="-9"/>
        </w:rPr>
        <w:t xml:space="preserve"> </w:t>
      </w:r>
      <w:r w:rsidRPr="00BA4835">
        <w:rPr>
          <w:rFonts w:ascii="Arial" w:hAnsi="Arial" w:cs="Arial"/>
        </w:rPr>
        <w:t>reviews</w:t>
      </w:r>
      <w:r w:rsidRPr="00BA4835">
        <w:rPr>
          <w:rFonts w:ascii="Arial" w:hAnsi="Arial" w:cs="Arial"/>
          <w:spacing w:val="-7"/>
        </w:rPr>
        <w:t xml:space="preserve"> </w:t>
      </w:r>
      <w:r w:rsidRPr="00BA4835">
        <w:rPr>
          <w:rFonts w:ascii="Arial" w:hAnsi="Arial" w:cs="Arial"/>
        </w:rPr>
        <w:t>across</w:t>
      </w:r>
      <w:r w:rsidRPr="00BA4835">
        <w:rPr>
          <w:rFonts w:ascii="Arial" w:hAnsi="Arial" w:cs="Arial"/>
          <w:spacing w:val="-9"/>
        </w:rPr>
        <w:t xml:space="preserve"> </w:t>
      </w:r>
      <w:r w:rsidRPr="00BA4835">
        <w:rPr>
          <w:rFonts w:ascii="Arial" w:hAnsi="Arial" w:cs="Arial"/>
        </w:rPr>
        <w:t>England through a team of trained</w:t>
      </w:r>
      <w:r w:rsidRPr="00BA4835">
        <w:rPr>
          <w:rFonts w:ascii="Arial" w:hAnsi="Arial" w:cs="Arial"/>
          <w:spacing w:val="-5"/>
        </w:rPr>
        <w:t xml:space="preserve"> </w:t>
      </w:r>
      <w:r w:rsidRPr="00BA4835">
        <w:rPr>
          <w:rFonts w:ascii="Arial" w:hAnsi="Arial" w:cs="Arial"/>
        </w:rPr>
        <w:t>reviewers.</w:t>
      </w:r>
    </w:p>
    <w:p w14:paraId="56147ACF" w14:textId="77777777" w:rsidR="00CA2041" w:rsidRPr="00BA4835" w:rsidRDefault="006705E5">
      <w:pPr>
        <w:pStyle w:val="BodyText"/>
        <w:spacing w:before="157" w:line="259" w:lineRule="auto"/>
        <w:ind w:right="117"/>
        <w:jc w:val="both"/>
        <w:rPr>
          <w:rFonts w:ascii="Arial" w:hAnsi="Arial" w:cs="Arial"/>
        </w:rPr>
      </w:pPr>
      <w:r w:rsidRPr="00BA4835">
        <w:rPr>
          <w:rFonts w:ascii="Arial" w:hAnsi="Arial" w:cs="Arial"/>
        </w:rPr>
        <w:t>The IPS Grow team ar</w:t>
      </w:r>
      <w:r w:rsidRPr="00BA4835">
        <w:rPr>
          <w:rFonts w:ascii="Arial" w:hAnsi="Arial" w:cs="Arial"/>
        </w:rPr>
        <w:t>e employed by Social Finance, a not-for-profit organisation. We also use consultants employed by the Centre for Mental Health to support with the reviews.</w:t>
      </w:r>
    </w:p>
    <w:p w14:paraId="6AB83C20" w14:textId="77777777" w:rsidR="00CA2041" w:rsidRPr="00BA4835" w:rsidRDefault="006705E5">
      <w:pPr>
        <w:pStyle w:val="Heading1"/>
        <w:spacing w:before="162"/>
        <w:rPr>
          <w:rFonts w:ascii="Arial" w:hAnsi="Arial" w:cs="Arial"/>
        </w:rPr>
      </w:pPr>
      <w:r w:rsidRPr="00BA4835">
        <w:rPr>
          <w:rFonts w:ascii="Arial" w:hAnsi="Arial" w:cs="Arial"/>
        </w:rPr>
        <w:t>What is a fidelity review?</w:t>
      </w:r>
    </w:p>
    <w:p w14:paraId="38E78B2A" w14:textId="6A0173AF" w:rsidR="00CA2041" w:rsidRPr="00BA4835" w:rsidRDefault="006705E5">
      <w:pPr>
        <w:pStyle w:val="BodyText"/>
        <w:spacing w:before="180" w:line="259" w:lineRule="auto"/>
        <w:ind w:right="112"/>
        <w:jc w:val="both"/>
        <w:rPr>
          <w:rFonts w:ascii="Arial" w:hAnsi="Arial" w:cs="Arial"/>
        </w:rPr>
      </w:pPr>
      <w:r w:rsidRPr="00BA4835">
        <w:rPr>
          <w:rFonts w:ascii="Arial" w:hAnsi="Arial" w:cs="Arial"/>
        </w:rPr>
        <w:t>Fidelity reviews aim to help services understand what they are doing well,</w:t>
      </w:r>
      <w:r w:rsidRPr="00BA4835">
        <w:rPr>
          <w:rFonts w:ascii="Arial" w:hAnsi="Arial" w:cs="Arial"/>
        </w:rPr>
        <w:t xml:space="preserve"> but also identify improvements to practice. This is all with the aim of increasing job outcomes. Services are scored against</w:t>
      </w:r>
      <w:r w:rsidRPr="00BA4835">
        <w:rPr>
          <w:rFonts w:ascii="Arial" w:hAnsi="Arial" w:cs="Arial"/>
          <w:spacing w:val="-5"/>
        </w:rPr>
        <w:t xml:space="preserve"> </w:t>
      </w:r>
      <w:r w:rsidRPr="00BA4835">
        <w:rPr>
          <w:rFonts w:ascii="Arial" w:hAnsi="Arial" w:cs="Arial"/>
        </w:rPr>
        <w:t>a</w:t>
      </w:r>
      <w:r w:rsidRPr="00BA4835">
        <w:rPr>
          <w:rFonts w:ascii="Arial" w:hAnsi="Arial" w:cs="Arial"/>
          <w:spacing w:val="-5"/>
        </w:rPr>
        <w:t xml:space="preserve"> </w:t>
      </w:r>
      <w:r w:rsidRPr="00BA4835">
        <w:rPr>
          <w:rFonts w:ascii="Arial" w:hAnsi="Arial" w:cs="Arial"/>
        </w:rPr>
        <w:t>25-point</w:t>
      </w:r>
      <w:r w:rsidRPr="00BA4835">
        <w:rPr>
          <w:rFonts w:ascii="Arial" w:hAnsi="Arial" w:cs="Arial"/>
          <w:spacing w:val="-5"/>
        </w:rPr>
        <w:t xml:space="preserve"> </w:t>
      </w:r>
      <w:r w:rsidRPr="00BA4835">
        <w:rPr>
          <w:rFonts w:ascii="Arial" w:hAnsi="Arial" w:cs="Arial"/>
        </w:rPr>
        <w:t>fidelity</w:t>
      </w:r>
      <w:r w:rsidRPr="00BA4835">
        <w:rPr>
          <w:rFonts w:ascii="Arial" w:hAnsi="Arial" w:cs="Arial"/>
          <w:spacing w:val="-4"/>
        </w:rPr>
        <w:t xml:space="preserve"> </w:t>
      </w:r>
      <w:r w:rsidRPr="00BA4835">
        <w:rPr>
          <w:rFonts w:ascii="Arial" w:hAnsi="Arial" w:cs="Arial"/>
        </w:rPr>
        <w:t>scale</w:t>
      </w:r>
      <w:r w:rsidRPr="00BA4835">
        <w:rPr>
          <w:rFonts w:ascii="Arial" w:hAnsi="Arial" w:cs="Arial"/>
          <w:spacing w:val="-5"/>
        </w:rPr>
        <w:t xml:space="preserve"> </w:t>
      </w:r>
      <w:r w:rsidRPr="00BA4835">
        <w:rPr>
          <w:rFonts w:ascii="Arial" w:hAnsi="Arial" w:cs="Arial"/>
        </w:rPr>
        <w:t>(</w:t>
      </w:r>
      <w:hyperlink r:id="rId7" w:history="1">
        <w:r w:rsidRPr="00011493">
          <w:rPr>
            <w:rStyle w:val="Hyperlink"/>
            <w:rFonts w:ascii="Arial" w:hAnsi="Arial" w:cs="Arial"/>
            <w:color w:val="DC006A"/>
          </w:rPr>
          <w:t>link</w:t>
        </w:r>
      </w:hyperlink>
      <w:r w:rsidRPr="00BA4835">
        <w:rPr>
          <w:rFonts w:ascii="Arial" w:hAnsi="Arial" w:cs="Arial"/>
        </w:rPr>
        <w:t>)</w:t>
      </w:r>
      <w:r w:rsidRPr="00BA4835">
        <w:rPr>
          <w:rFonts w:ascii="Arial" w:hAnsi="Arial" w:cs="Arial"/>
          <w:spacing w:val="-4"/>
        </w:rPr>
        <w:t xml:space="preserve"> </w:t>
      </w:r>
      <w:r w:rsidRPr="00BA4835">
        <w:rPr>
          <w:rFonts w:ascii="Arial" w:hAnsi="Arial" w:cs="Arial"/>
        </w:rPr>
        <w:t>which</w:t>
      </w:r>
      <w:r w:rsidRPr="00BA4835">
        <w:rPr>
          <w:rFonts w:ascii="Arial" w:hAnsi="Arial" w:cs="Arial"/>
          <w:spacing w:val="-7"/>
        </w:rPr>
        <w:t xml:space="preserve"> </w:t>
      </w:r>
      <w:r w:rsidRPr="00BA4835">
        <w:rPr>
          <w:rFonts w:ascii="Arial" w:hAnsi="Arial" w:cs="Arial"/>
        </w:rPr>
        <w:t>covers</w:t>
      </w:r>
      <w:r w:rsidRPr="00BA4835">
        <w:rPr>
          <w:rFonts w:ascii="Arial" w:hAnsi="Arial" w:cs="Arial"/>
          <w:spacing w:val="-5"/>
        </w:rPr>
        <w:t xml:space="preserve"> </w:t>
      </w:r>
      <w:r w:rsidRPr="00BA4835">
        <w:rPr>
          <w:rFonts w:ascii="Arial" w:hAnsi="Arial" w:cs="Arial"/>
        </w:rPr>
        <w:t>all</w:t>
      </w:r>
      <w:r w:rsidRPr="00BA4835">
        <w:rPr>
          <w:rFonts w:ascii="Arial" w:hAnsi="Arial" w:cs="Arial"/>
          <w:spacing w:val="-9"/>
        </w:rPr>
        <w:t xml:space="preserve"> </w:t>
      </w:r>
      <w:r w:rsidRPr="00BA4835">
        <w:rPr>
          <w:rFonts w:ascii="Arial" w:hAnsi="Arial" w:cs="Arial"/>
        </w:rPr>
        <w:t>areas</w:t>
      </w:r>
      <w:r w:rsidRPr="00BA4835">
        <w:rPr>
          <w:rFonts w:ascii="Arial" w:hAnsi="Arial" w:cs="Arial"/>
          <w:spacing w:val="-5"/>
        </w:rPr>
        <w:t xml:space="preserve"> </w:t>
      </w:r>
      <w:r w:rsidRPr="00BA4835">
        <w:rPr>
          <w:rFonts w:ascii="Arial" w:hAnsi="Arial" w:cs="Arial"/>
        </w:rPr>
        <w:t>of</w:t>
      </w:r>
      <w:r w:rsidRPr="00BA4835">
        <w:rPr>
          <w:rFonts w:ascii="Arial" w:hAnsi="Arial" w:cs="Arial"/>
          <w:spacing w:val="-5"/>
        </w:rPr>
        <w:t xml:space="preserve"> </w:t>
      </w:r>
      <w:r w:rsidRPr="00BA4835">
        <w:rPr>
          <w:rFonts w:ascii="Arial" w:hAnsi="Arial" w:cs="Arial"/>
        </w:rPr>
        <w:t>IPS</w:t>
      </w:r>
      <w:r w:rsidRPr="00BA4835">
        <w:rPr>
          <w:rFonts w:ascii="Arial" w:hAnsi="Arial" w:cs="Arial"/>
          <w:spacing w:val="-5"/>
        </w:rPr>
        <w:t xml:space="preserve"> </w:t>
      </w:r>
      <w:r w:rsidRPr="00BA4835">
        <w:rPr>
          <w:rFonts w:ascii="Arial" w:hAnsi="Arial" w:cs="Arial"/>
        </w:rPr>
        <w:t>practice.</w:t>
      </w:r>
      <w:r w:rsidRPr="00BA4835">
        <w:rPr>
          <w:rFonts w:ascii="Arial" w:hAnsi="Arial" w:cs="Arial"/>
          <w:spacing w:val="40"/>
        </w:rPr>
        <w:t xml:space="preserve"> </w:t>
      </w:r>
      <w:r w:rsidRPr="00BA4835">
        <w:rPr>
          <w:rFonts w:ascii="Arial" w:hAnsi="Arial" w:cs="Arial"/>
        </w:rPr>
        <w:t>The</w:t>
      </w:r>
      <w:r w:rsidRPr="00BA4835">
        <w:rPr>
          <w:rFonts w:ascii="Arial" w:hAnsi="Arial" w:cs="Arial"/>
          <w:spacing w:val="-5"/>
        </w:rPr>
        <w:t xml:space="preserve"> </w:t>
      </w:r>
      <w:r w:rsidRPr="00BA4835">
        <w:rPr>
          <w:rFonts w:ascii="Arial" w:hAnsi="Arial" w:cs="Arial"/>
        </w:rPr>
        <w:t>fidelity</w:t>
      </w:r>
      <w:r w:rsidRPr="00BA4835">
        <w:rPr>
          <w:rFonts w:ascii="Arial" w:hAnsi="Arial" w:cs="Arial"/>
          <w:spacing w:val="-5"/>
        </w:rPr>
        <w:t xml:space="preserve"> </w:t>
      </w:r>
      <w:r w:rsidRPr="00BA4835">
        <w:rPr>
          <w:rFonts w:ascii="Arial" w:hAnsi="Arial" w:cs="Arial"/>
        </w:rPr>
        <w:t>scale</w:t>
      </w:r>
      <w:r w:rsidRPr="00BA4835">
        <w:rPr>
          <w:rFonts w:ascii="Arial" w:hAnsi="Arial" w:cs="Arial"/>
          <w:spacing w:val="-4"/>
        </w:rPr>
        <w:t xml:space="preserve"> </w:t>
      </w:r>
      <w:r w:rsidRPr="00BA4835">
        <w:rPr>
          <w:rFonts w:ascii="Arial" w:hAnsi="Arial" w:cs="Arial"/>
        </w:rPr>
        <w:t>has</w:t>
      </w:r>
      <w:r w:rsidRPr="00BA4835">
        <w:rPr>
          <w:rFonts w:ascii="Arial" w:hAnsi="Arial" w:cs="Arial"/>
          <w:spacing w:val="-5"/>
        </w:rPr>
        <w:t xml:space="preserve"> </w:t>
      </w:r>
      <w:r w:rsidRPr="00BA4835">
        <w:rPr>
          <w:rFonts w:ascii="Arial" w:hAnsi="Arial" w:cs="Arial"/>
        </w:rPr>
        <w:t>been designed as a tool to support services to deliver a high-quality service. Evidence shows that services that have higher fidelity scores achieve better employment outcomes for their</w:t>
      </w:r>
      <w:r w:rsidRPr="00BA4835">
        <w:rPr>
          <w:rFonts w:ascii="Arial" w:hAnsi="Arial" w:cs="Arial"/>
          <w:spacing w:val="-10"/>
        </w:rPr>
        <w:t xml:space="preserve"> </w:t>
      </w:r>
      <w:r w:rsidRPr="00BA4835">
        <w:rPr>
          <w:rFonts w:ascii="Arial" w:hAnsi="Arial" w:cs="Arial"/>
        </w:rPr>
        <w:t>clients</w:t>
      </w:r>
      <w:r w:rsidRPr="00BA4835">
        <w:rPr>
          <w:rFonts w:ascii="Arial" w:hAnsi="Arial" w:cs="Arial"/>
          <w:vertAlign w:val="superscript"/>
        </w:rPr>
        <w:t>2</w:t>
      </w:r>
      <w:r w:rsidRPr="00BA4835">
        <w:rPr>
          <w:rFonts w:ascii="Arial" w:hAnsi="Arial" w:cs="Arial"/>
        </w:rPr>
        <w:t>.</w:t>
      </w:r>
    </w:p>
    <w:p w14:paraId="25D2A78C" w14:textId="77777777" w:rsidR="00CA2041" w:rsidRPr="00BA4835" w:rsidRDefault="006705E5">
      <w:pPr>
        <w:pStyle w:val="BodyText"/>
        <w:spacing w:before="160" w:line="256" w:lineRule="auto"/>
        <w:ind w:right="116"/>
        <w:jc w:val="both"/>
        <w:rPr>
          <w:rFonts w:ascii="Arial" w:hAnsi="Arial" w:cs="Arial"/>
        </w:rPr>
      </w:pPr>
      <w:r w:rsidRPr="00BA4835">
        <w:rPr>
          <w:rFonts w:ascii="Arial" w:hAnsi="Arial" w:cs="Arial"/>
        </w:rPr>
        <w:t>The</w:t>
      </w:r>
      <w:r w:rsidRPr="00BA4835">
        <w:rPr>
          <w:rFonts w:ascii="Arial" w:hAnsi="Arial" w:cs="Arial"/>
          <w:spacing w:val="-9"/>
        </w:rPr>
        <w:t xml:space="preserve"> </w:t>
      </w:r>
      <w:r w:rsidRPr="00BA4835">
        <w:rPr>
          <w:rFonts w:ascii="Arial" w:hAnsi="Arial" w:cs="Arial"/>
        </w:rPr>
        <w:t>fidelity</w:t>
      </w:r>
      <w:r w:rsidRPr="00BA4835">
        <w:rPr>
          <w:rFonts w:ascii="Arial" w:hAnsi="Arial" w:cs="Arial"/>
          <w:spacing w:val="-10"/>
        </w:rPr>
        <w:t xml:space="preserve"> </w:t>
      </w:r>
      <w:r w:rsidRPr="00BA4835">
        <w:rPr>
          <w:rFonts w:ascii="Arial" w:hAnsi="Arial" w:cs="Arial"/>
        </w:rPr>
        <w:t>review</w:t>
      </w:r>
      <w:r w:rsidRPr="00BA4835">
        <w:rPr>
          <w:rFonts w:ascii="Arial" w:hAnsi="Arial" w:cs="Arial"/>
          <w:spacing w:val="-8"/>
        </w:rPr>
        <w:t xml:space="preserve"> </w:t>
      </w:r>
      <w:r w:rsidRPr="00BA4835">
        <w:rPr>
          <w:rFonts w:ascii="Arial" w:hAnsi="Arial" w:cs="Arial"/>
        </w:rPr>
        <w:t>is</w:t>
      </w:r>
      <w:r w:rsidRPr="00BA4835">
        <w:rPr>
          <w:rFonts w:ascii="Arial" w:hAnsi="Arial" w:cs="Arial"/>
          <w:spacing w:val="-11"/>
        </w:rPr>
        <w:t xml:space="preserve"> </w:t>
      </w:r>
      <w:r w:rsidRPr="00BA4835">
        <w:rPr>
          <w:rFonts w:ascii="Arial" w:hAnsi="Arial" w:cs="Arial"/>
        </w:rPr>
        <w:t>carried</w:t>
      </w:r>
      <w:r w:rsidRPr="00BA4835">
        <w:rPr>
          <w:rFonts w:ascii="Arial" w:hAnsi="Arial" w:cs="Arial"/>
          <w:spacing w:val="-9"/>
        </w:rPr>
        <w:t xml:space="preserve"> </w:t>
      </w:r>
      <w:r w:rsidRPr="00BA4835">
        <w:rPr>
          <w:rFonts w:ascii="Arial" w:hAnsi="Arial" w:cs="Arial"/>
        </w:rPr>
        <w:t>out</w:t>
      </w:r>
      <w:r w:rsidRPr="00BA4835">
        <w:rPr>
          <w:rFonts w:ascii="Arial" w:hAnsi="Arial" w:cs="Arial"/>
          <w:spacing w:val="-13"/>
        </w:rPr>
        <w:t xml:space="preserve"> </w:t>
      </w:r>
      <w:r w:rsidRPr="00BA4835">
        <w:rPr>
          <w:rFonts w:ascii="Arial" w:hAnsi="Arial" w:cs="Arial"/>
        </w:rPr>
        <w:t>over</w:t>
      </w:r>
      <w:r w:rsidRPr="00BA4835">
        <w:rPr>
          <w:rFonts w:ascii="Arial" w:hAnsi="Arial" w:cs="Arial"/>
          <w:spacing w:val="-11"/>
        </w:rPr>
        <w:t xml:space="preserve"> </w:t>
      </w:r>
      <w:r w:rsidRPr="00BA4835">
        <w:rPr>
          <w:rFonts w:ascii="Arial" w:hAnsi="Arial" w:cs="Arial"/>
        </w:rPr>
        <w:t>2</w:t>
      </w:r>
      <w:r w:rsidRPr="00BA4835">
        <w:rPr>
          <w:rFonts w:ascii="Arial" w:hAnsi="Arial" w:cs="Arial"/>
          <w:spacing w:val="-7"/>
        </w:rPr>
        <w:t xml:space="preserve"> </w:t>
      </w:r>
      <w:r w:rsidRPr="00BA4835">
        <w:rPr>
          <w:rFonts w:ascii="Arial" w:hAnsi="Arial" w:cs="Arial"/>
        </w:rPr>
        <w:t>days,</w:t>
      </w:r>
      <w:r w:rsidRPr="00BA4835">
        <w:rPr>
          <w:rFonts w:ascii="Arial" w:hAnsi="Arial" w:cs="Arial"/>
          <w:spacing w:val="-11"/>
        </w:rPr>
        <w:t xml:space="preserve"> </w:t>
      </w:r>
      <w:r w:rsidRPr="00BA4835">
        <w:rPr>
          <w:rFonts w:ascii="Arial" w:hAnsi="Arial" w:cs="Arial"/>
        </w:rPr>
        <w:t>and</w:t>
      </w:r>
      <w:r w:rsidRPr="00BA4835">
        <w:rPr>
          <w:rFonts w:ascii="Arial" w:hAnsi="Arial" w:cs="Arial"/>
          <w:spacing w:val="-10"/>
        </w:rPr>
        <w:t xml:space="preserve"> </w:t>
      </w:r>
      <w:r w:rsidRPr="00BA4835">
        <w:rPr>
          <w:rFonts w:ascii="Arial" w:hAnsi="Arial" w:cs="Arial"/>
        </w:rPr>
        <w:t>involves</w:t>
      </w:r>
      <w:r w:rsidRPr="00BA4835">
        <w:rPr>
          <w:rFonts w:ascii="Arial" w:hAnsi="Arial" w:cs="Arial"/>
          <w:spacing w:val="-10"/>
        </w:rPr>
        <w:t xml:space="preserve"> </w:t>
      </w:r>
      <w:r w:rsidRPr="00BA4835">
        <w:rPr>
          <w:rFonts w:ascii="Arial" w:hAnsi="Arial" w:cs="Arial"/>
        </w:rPr>
        <w:t>interviews</w:t>
      </w:r>
      <w:r w:rsidRPr="00BA4835">
        <w:rPr>
          <w:rFonts w:ascii="Arial" w:hAnsi="Arial" w:cs="Arial"/>
          <w:spacing w:val="-11"/>
        </w:rPr>
        <w:t xml:space="preserve"> </w:t>
      </w:r>
      <w:r w:rsidRPr="00BA4835">
        <w:rPr>
          <w:rFonts w:ascii="Arial" w:hAnsi="Arial" w:cs="Arial"/>
        </w:rPr>
        <w:t>with</w:t>
      </w:r>
      <w:r w:rsidRPr="00BA4835">
        <w:rPr>
          <w:rFonts w:ascii="Arial" w:hAnsi="Arial" w:cs="Arial"/>
          <w:spacing w:val="-12"/>
        </w:rPr>
        <w:t xml:space="preserve"> </w:t>
      </w:r>
      <w:r w:rsidRPr="00BA4835">
        <w:rPr>
          <w:rFonts w:ascii="Arial" w:hAnsi="Arial" w:cs="Arial"/>
        </w:rPr>
        <w:t>clinicians,</w:t>
      </w:r>
      <w:r w:rsidRPr="00BA4835">
        <w:rPr>
          <w:rFonts w:ascii="Arial" w:hAnsi="Arial" w:cs="Arial"/>
          <w:spacing w:val="-9"/>
        </w:rPr>
        <w:t xml:space="preserve"> </w:t>
      </w:r>
      <w:r w:rsidRPr="00BA4835">
        <w:rPr>
          <w:rFonts w:ascii="Arial" w:hAnsi="Arial" w:cs="Arial"/>
        </w:rPr>
        <w:t>senior</w:t>
      </w:r>
      <w:r w:rsidRPr="00BA4835">
        <w:rPr>
          <w:rFonts w:ascii="Arial" w:hAnsi="Arial" w:cs="Arial"/>
          <w:spacing w:val="-10"/>
        </w:rPr>
        <w:t xml:space="preserve"> </w:t>
      </w:r>
      <w:r w:rsidRPr="00BA4835">
        <w:rPr>
          <w:rFonts w:ascii="Arial" w:hAnsi="Arial" w:cs="Arial"/>
        </w:rPr>
        <w:t>executives, the IPS team and clients. The fidelity review will cover all 25 points of the fidelity</w:t>
      </w:r>
      <w:r w:rsidRPr="00BA4835">
        <w:rPr>
          <w:rFonts w:ascii="Arial" w:hAnsi="Arial" w:cs="Arial"/>
          <w:spacing w:val="-20"/>
        </w:rPr>
        <w:t xml:space="preserve"> </w:t>
      </w:r>
      <w:r w:rsidRPr="00BA4835">
        <w:rPr>
          <w:rFonts w:ascii="Arial" w:hAnsi="Arial" w:cs="Arial"/>
        </w:rPr>
        <w:t>scale.</w:t>
      </w:r>
    </w:p>
    <w:p w14:paraId="1D725ECF" w14:textId="77777777" w:rsidR="00CA2041" w:rsidRPr="00BA4835" w:rsidRDefault="006705E5">
      <w:pPr>
        <w:pStyle w:val="BodyText"/>
        <w:spacing w:before="165" w:line="256" w:lineRule="auto"/>
        <w:ind w:right="114"/>
        <w:jc w:val="both"/>
        <w:rPr>
          <w:rFonts w:ascii="Arial" w:hAnsi="Arial" w:cs="Arial"/>
        </w:rPr>
      </w:pPr>
      <w:r w:rsidRPr="00BA4835">
        <w:rPr>
          <w:rFonts w:ascii="Arial" w:hAnsi="Arial" w:cs="Arial"/>
        </w:rPr>
        <w:t>The reviews will be carried out by IPS Grow (staff employed by Social Finance) and the Centre for Mental Health, who we subcontract to deliver these reviews.</w:t>
      </w:r>
    </w:p>
    <w:p w14:paraId="47ABE079" w14:textId="73F3EEE8" w:rsidR="00CA2041" w:rsidRPr="00BA4835" w:rsidRDefault="006705E5">
      <w:pPr>
        <w:pStyle w:val="Heading1"/>
        <w:spacing w:before="165"/>
        <w:rPr>
          <w:rFonts w:ascii="Arial" w:hAnsi="Arial" w:cs="Arial"/>
        </w:rPr>
      </w:pPr>
      <w:r w:rsidRPr="00BA4835">
        <w:rPr>
          <w:rFonts w:ascii="Arial" w:hAnsi="Arial" w:cs="Arial"/>
        </w:rPr>
        <w:t>What happens after the fidelity review?</w:t>
      </w:r>
    </w:p>
    <w:p w14:paraId="27CF616B" w14:textId="77777777" w:rsidR="00CA2041" w:rsidRPr="00BA4835" w:rsidRDefault="00CA2041">
      <w:pPr>
        <w:pStyle w:val="BodyText"/>
        <w:ind w:left="0"/>
        <w:rPr>
          <w:rFonts w:ascii="Arial" w:hAnsi="Arial" w:cs="Arial"/>
          <w:b/>
        </w:rPr>
      </w:pPr>
    </w:p>
    <w:p w14:paraId="59D90915" w14:textId="77777777" w:rsidR="00CA2041" w:rsidRPr="00BA4835" w:rsidRDefault="00CA2041">
      <w:pPr>
        <w:pStyle w:val="BodyText"/>
        <w:ind w:left="0"/>
        <w:rPr>
          <w:rFonts w:ascii="Arial" w:hAnsi="Arial" w:cs="Arial"/>
          <w:b/>
        </w:rPr>
      </w:pPr>
    </w:p>
    <w:p w14:paraId="763E41D8" w14:textId="77777777" w:rsidR="00CA2041" w:rsidRPr="00BA4835" w:rsidRDefault="00CA2041">
      <w:pPr>
        <w:pStyle w:val="BodyText"/>
        <w:ind w:left="0"/>
        <w:rPr>
          <w:rFonts w:ascii="Arial" w:hAnsi="Arial" w:cs="Arial"/>
          <w:b/>
        </w:rPr>
      </w:pPr>
    </w:p>
    <w:p w14:paraId="4D70E5CB" w14:textId="5A46A169" w:rsidR="00CA2041" w:rsidRPr="00BA4835" w:rsidRDefault="00BC0CE9">
      <w:pPr>
        <w:pStyle w:val="BodyText"/>
        <w:spacing w:before="4"/>
        <w:ind w:left="0"/>
        <w:rPr>
          <w:rFonts w:ascii="Arial" w:hAnsi="Arial" w:cs="Arial"/>
          <w:b/>
        </w:rPr>
      </w:pPr>
      <w:r w:rsidRPr="00BA4835">
        <w:rPr>
          <w:rFonts w:ascii="Arial" w:hAnsi="Arial" w:cs="Arial"/>
          <w:noProof/>
        </w:rPr>
        <mc:AlternateContent>
          <mc:Choice Requires="wps">
            <w:drawing>
              <wp:anchor distT="0" distB="0" distL="0" distR="0" simplePos="0" relativeHeight="487587840" behindDoc="1" locked="0" layoutInCell="1" allowOverlap="1" wp14:anchorId="18EDE2B0" wp14:editId="791FF6A9">
                <wp:simplePos x="0" y="0"/>
                <wp:positionH relativeFrom="page">
                  <wp:posOffset>914400</wp:posOffset>
                </wp:positionH>
                <wp:positionV relativeFrom="paragraph">
                  <wp:posOffset>128270</wp:posOffset>
                </wp:positionV>
                <wp:extent cx="1828800" cy="8890"/>
                <wp:effectExtent l="0" t="0" r="0" b="0"/>
                <wp:wrapTopAndBottom/>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8729B" id="Rectangle 3" o:spid="_x0000_s1026" style="position:absolute;margin-left:1in;margin-top:10.1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" fillcolor="black" stroked="f">
                <w10:wrap type="topAndBottom" anchorx="page"/>
              </v:rect>
            </w:pict>
          </mc:Fallback>
        </mc:AlternateContent>
      </w:r>
    </w:p>
    <w:p w14:paraId="7F2C6CFE" w14:textId="77777777" w:rsidR="00CA2041" w:rsidRPr="00BA4835" w:rsidRDefault="006705E5">
      <w:pPr>
        <w:spacing w:before="73" w:line="243" w:lineRule="exact"/>
        <w:ind w:left="100"/>
        <w:rPr>
          <w:rFonts w:ascii="Arial" w:hAnsi="Arial" w:cs="Arial"/>
        </w:rPr>
      </w:pPr>
      <w:r w:rsidRPr="00BA4835">
        <w:rPr>
          <w:rFonts w:ascii="Arial" w:hAnsi="Arial" w:cs="Arial"/>
          <w:vertAlign w:val="superscript"/>
        </w:rPr>
        <w:t>1</w:t>
      </w:r>
      <w:r w:rsidRPr="00BA4835">
        <w:rPr>
          <w:rFonts w:ascii="Arial" w:hAnsi="Arial" w:cs="Arial"/>
        </w:rPr>
        <w:t xml:space="preserve"> Employment Center. Available at https://ipsworks.or</w:t>
      </w:r>
      <w:r w:rsidRPr="00BA4835">
        <w:rPr>
          <w:rFonts w:ascii="Arial" w:hAnsi="Arial" w:cs="Arial"/>
        </w:rPr>
        <w:t>g/wpc</w:t>
      </w:r>
    </w:p>
    <w:p w14:paraId="665E3AB7" w14:textId="77777777" w:rsidR="00CA2041" w:rsidRPr="00BA4835" w:rsidRDefault="006705E5">
      <w:pPr>
        <w:ind w:left="100" w:right="513"/>
        <w:rPr>
          <w:rFonts w:ascii="Arial" w:hAnsi="Arial" w:cs="Arial"/>
        </w:rPr>
      </w:pPr>
      <w:r w:rsidRPr="00BA4835">
        <w:rPr>
          <w:rFonts w:ascii="Arial" w:hAnsi="Arial" w:cs="Arial"/>
          <w:vertAlign w:val="superscript"/>
        </w:rPr>
        <w:t>2</w:t>
      </w:r>
      <w:r w:rsidRPr="00BA4835">
        <w:rPr>
          <w:rFonts w:ascii="Arial" w:hAnsi="Arial" w:cs="Arial"/>
        </w:rPr>
        <w:t xml:space="preserve"> Bond, G. R., Becker, D. R., &amp; Drake, R. E. (2011). Measurement of Fidelity of Implementation of Evidence- Based Practices: Case Example of the IPS Fidelity Scale and Kim et al (2015). Predictive validity of the Individual Placement and Support fide</w:t>
      </w:r>
      <w:r w:rsidRPr="00BA4835">
        <w:rPr>
          <w:rFonts w:ascii="Arial" w:hAnsi="Arial" w:cs="Arial"/>
        </w:rPr>
        <w:t>lity scale (IPS-25): A replication study.</w:t>
      </w:r>
    </w:p>
    <w:p w14:paraId="47FF74CB" w14:textId="77777777" w:rsidR="00CA2041" w:rsidRPr="00BA4835" w:rsidRDefault="00CA2041">
      <w:pPr>
        <w:rPr>
          <w:rFonts w:ascii="Arial" w:hAnsi="Arial" w:cs="Arial"/>
        </w:rPr>
        <w:sectPr w:rsidR="00CA2041" w:rsidRPr="00BA4835">
          <w:headerReference w:type="default" r:id="rId8"/>
          <w:type w:val="continuous"/>
          <w:pgSz w:w="11910" w:h="16840"/>
          <w:pgMar w:top="1440" w:right="1320" w:bottom="280" w:left="1340" w:header="283" w:footer="720" w:gutter="0"/>
          <w:cols w:space="720"/>
        </w:sectPr>
      </w:pPr>
    </w:p>
    <w:p w14:paraId="4D944901" w14:textId="77777777" w:rsidR="00BA4835" w:rsidRDefault="00BA4835">
      <w:pPr>
        <w:pStyle w:val="BodyText"/>
        <w:spacing w:line="252" w:lineRule="exact"/>
        <w:rPr>
          <w:rFonts w:ascii="Arial" w:hAnsi="Arial" w:cs="Arial"/>
        </w:rPr>
      </w:pPr>
    </w:p>
    <w:p w14:paraId="2E306252" w14:textId="43E1EED5" w:rsidR="00CA2041" w:rsidRPr="00BA4835" w:rsidRDefault="006705E5">
      <w:pPr>
        <w:pStyle w:val="BodyText"/>
        <w:spacing w:line="252" w:lineRule="exact"/>
        <w:rPr>
          <w:rFonts w:ascii="Arial" w:hAnsi="Arial" w:cs="Arial"/>
        </w:rPr>
      </w:pPr>
      <w:r w:rsidRPr="00BA4835">
        <w:rPr>
          <w:rFonts w:ascii="Arial" w:hAnsi="Arial" w:cs="Arial"/>
        </w:rPr>
        <w:t>In line with international practice following each fidelity review we will be offering on site IPS</w:t>
      </w:r>
    </w:p>
    <w:p w14:paraId="11389DB6" w14:textId="77777777" w:rsidR="00CA2041" w:rsidRPr="00BA4835" w:rsidRDefault="006705E5">
      <w:pPr>
        <w:pStyle w:val="BodyText"/>
        <w:ind w:right="513"/>
        <w:rPr>
          <w:rFonts w:ascii="Arial" w:hAnsi="Arial" w:cs="Arial"/>
        </w:rPr>
      </w:pPr>
      <w:r w:rsidRPr="00BA4835">
        <w:rPr>
          <w:rFonts w:ascii="Arial" w:hAnsi="Arial" w:cs="Arial"/>
        </w:rPr>
        <w:t>technical support to drive increased fidelity and job outcomes at each Trust. This is offered as follows:</w:t>
      </w:r>
    </w:p>
    <w:p w14:paraId="44071241" w14:textId="77777777" w:rsidR="00CA2041" w:rsidRPr="00BA4835" w:rsidRDefault="00CA2041">
      <w:pPr>
        <w:pStyle w:val="BodyText"/>
        <w:ind w:left="0"/>
        <w:rPr>
          <w:rFonts w:ascii="Arial" w:hAnsi="Arial" w:cs="Arial"/>
        </w:rPr>
      </w:pPr>
    </w:p>
    <w:p w14:paraId="5E5417DC" w14:textId="77777777" w:rsidR="00CA2041" w:rsidRPr="00BA4835" w:rsidRDefault="006705E5">
      <w:pPr>
        <w:pStyle w:val="BodyText"/>
        <w:spacing w:before="5"/>
        <w:ind w:left="0"/>
        <w:rPr>
          <w:rFonts w:ascii="Arial" w:hAnsi="Arial" w:cs="Arial"/>
        </w:rPr>
      </w:pPr>
      <w:r w:rsidRPr="00BA4835">
        <w:rPr>
          <w:rFonts w:ascii="Arial" w:hAnsi="Arial" w:cs="Arial"/>
          <w:noProof/>
        </w:rPr>
        <w:drawing>
          <wp:anchor distT="0" distB="0" distL="0" distR="0" simplePos="0" relativeHeight="251657216" behindDoc="0" locked="0" layoutInCell="1" allowOverlap="1" wp14:anchorId="791E41A4" wp14:editId="18C92A44">
            <wp:simplePos x="0" y="0"/>
            <wp:positionH relativeFrom="page">
              <wp:posOffset>914400</wp:posOffset>
            </wp:positionH>
            <wp:positionV relativeFrom="paragraph">
              <wp:posOffset>206772</wp:posOffset>
            </wp:positionV>
            <wp:extent cx="5505587" cy="1428750"/>
            <wp:effectExtent l="0" t="0" r="0" b="0"/>
            <wp:wrapTopAndBottom/>
            <wp:docPr id="3" name="image2.png" descr="A picture containing text,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505587" cy="1428750"/>
                    </a:xfrm>
                    <a:prstGeom prst="rect">
                      <a:avLst/>
                    </a:prstGeom>
                  </pic:spPr>
                </pic:pic>
              </a:graphicData>
            </a:graphic>
          </wp:anchor>
        </w:drawing>
      </w:r>
    </w:p>
    <w:p w14:paraId="5B24415D" w14:textId="77777777" w:rsidR="00CA2041" w:rsidRPr="00BA4835" w:rsidRDefault="00CA2041">
      <w:pPr>
        <w:pStyle w:val="BodyText"/>
        <w:spacing w:before="2"/>
        <w:ind w:left="0"/>
        <w:rPr>
          <w:rFonts w:ascii="Arial" w:hAnsi="Arial" w:cs="Arial"/>
        </w:rPr>
      </w:pPr>
    </w:p>
    <w:p w14:paraId="748D9B2B" w14:textId="38537FBA" w:rsidR="00CA2041" w:rsidRPr="00BA4835" w:rsidRDefault="006705E5" w:rsidP="00BA4835">
      <w:pPr>
        <w:pStyle w:val="BodyText"/>
        <w:ind w:right="186"/>
        <w:rPr>
          <w:rFonts w:ascii="Arial" w:hAnsi="Arial" w:cs="Arial"/>
        </w:rPr>
      </w:pPr>
      <w:r w:rsidRPr="00BA4835">
        <w:rPr>
          <w:rFonts w:ascii="Arial" w:hAnsi="Arial" w:cs="Arial"/>
        </w:rPr>
        <w:t>IPS technical support is offered on site suppor</w:t>
      </w:r>
      <w:r w:rsidRPr="00BA4835">
        <w:rPr>
          <w:rFonts w:ascii="Arial" w:hAnsi="Arial" w:cs="Arial"/>
        </w:rPr>
        <w:t xml:space="preserve">t (virtual or in person) and will focus on up to 5 fidelity items and/or operational policies. For example, this could be around performance management, supervision and service structure. It could include a range of interventions including supporting team </w:t>
      </w:r>
      <w:r w:rsidRPr="00BA4835">
        <w:rPr>
          <w:rFonts w:ascii="Arial" w:hAnsi="Arial" w:cs="Arial"/>
        </w:rPr>
        <w:t>practice strategies, field mentoring on site or in the community, coaching, training, case reviews and audits of</w:t>
      </w:r>
      <w:r w:rsidRPr="00BA4835">
        <w:rPr>
          <w:rFonts w:ascii="Arial" w:hAnsi="Arial" w:cs="Arial"/>
          <w:spacing w:val="-6"/>
        </w:rPr>
        <w:t xml:space="preserve"> </w:t>
      </w:r>
      <w:r w:rsidRPr="00BA4835">
        <w:rPr>
          <w:rFonts w:ascii="Arial" w:hAnsi="Arial" w:cs="Arial"/>
        </w:rPr>
        <w:t>practice.</w:t>
      </w:r>
    </w:p>
    <w:p w14:paraId="7786A95E" w14:textId="4CC18D38" w:rsidR="00CA2041" w:rsidRPr="00BA4835" w:rsidRDefault="006705E5">
      <w:pPr>
        <w:pStyle w:val="Heading1"/>
        <w:spacing w:before="181"/>
        <w:rPr>
          <w:rFonts w:ascii="Arial" w:hAnsi="Arial" w:cs="Arial"/>
          <w:color w:val="000000" w:themeColor="text1"/>
        </w:rPr>
      </w:pPr>
      <w:r w:rsidRPr="00BA4835">
        <w:rPr>
          <w:rFonts w:ascii="Arial" w:hAnsi="Arial" w:cs="Arial"/>
          <w:color w:val="000000" w:themeColor="text1"/>
        </w:rPr>
        <w:t>What kind</w:t>
      </w:r>
      <w:r w:rsidRPr="00BA4835">
        <w:rPr>
          <w:rFonts w:ascii="Arial" w:hAnsi="Arial" w:cs="Arial"/>
          <w:color w:val="000000" w:themeColor="text1"/>
        </w:rPr>
        <w:t xml:space="preserve"> of data do IPS Grow need to see in the review and why?</w:t>
      </w:r>
    </w:p>
    <w:p w14:paraId="041C78F5" w14:textId="77777777" w:rsidR="00CA2041" w:rsidRPr="00BA4835" w:rsidRDefault="006705E5">
      <w:pPr>
        <w:pStyle w:val="BodyText"/>
        <w:spacing w:before="183" w:line="256" w:lineRule="auto"/>
        <w:ind w:right="113"/>
        <w:jc w:val="both"/>
        <w:rPr>
          <w:rFonts w:ascii="Arial" w:hAnsi="Arial" w:cs="Arial"/>
        </w:rPr>
      </w:pPr>
      <w:r w:rsidRPr="00BA4835">
        <w:rPr>
          <w:rFonts w:ascii="Arial" w:hAnsi="Arial" w:cs="Arial"/>
        </w:rPr>
        <w:t>We</w:t>
      </w:r>
      <w:r w:rsidRPr="00BA4835">
        <w:rPr>
          <w:rFonts w:ascii="Arial" w:hAnsi="Arial" w:cs="Arial"/>
          <w:spacing w:val="-3"/>
        </w:rPr>
        <w:t xml:space="preserve"> </w:t>
      </w:r>
      <w:r w:rsidRPr="00BA4835">
        <w:rPr>
          <w:rFonts w:ascii="Arial" w:hAnsi="Arial" w:cs="Arial"/>
        </w:rPr>
        <w:t>need</w:t>
      </w:r>
      <w:r w:rsidRPr="00BA4835">
        <w:rPr>
          <w:rFonts w:ascii="Arial" w:hAnsi="Arial" w:cs="Arial"/>
          <w:spacing w:val="-3"/>
        </w:rPr>
        <w:t xml:space="preserve"> </w:t>
      </w:r>
      <w:r w:rsidRPr="00BA4835">
        <w:rPr>
          <w:rFonts w:ascii="Arial" w:hAnsi="Arial" w:cs="Arial"/>
        </w:rPr>
        <w:t>access</w:t>
      </w:r>
      <w:r w:rsidRPr="00BA4835">
        <w:rPr>
          <w:rFonts w:ascii="Arial" w:hAnsi="Arial" w:cs="Arial"/>
          <w:spacing w:val="-4"/>
        </w:rPr>
        <w:t xml:space="preserve"> </w:t>
      </w:r>
      <w:r w:rsidRPr="00BA4835">
        <w:rPr>
          <w:rFonts w:ascii="Arial" w:hAnsi="Arial" w:cs="Arial"/>
        </w:rPr>
        <w:t>to</w:t>
      </w:r>
      <w:r w:rsidRPr="00BA4835">
        <w:rPr>
          <w:rFonts w:ascii="Arial" w:hAnsi="Arial" w:cs="Arial"/>
          <w:spacing w:val="-4"/>
        </w:rPr>
        <w:t xml:space="preserve"> </w:t>
      </w:r>
      <w:r w:rsidRPr="00BA4835">
        <w:rPr>
          <w:rFonts w:ascii="Arial" w:hAnsi="Arial" w:cs="Arial"/>
        </w:rPr>
        <w:t>data</w:t>
      </w:r>
      <w:r w:rsidRPr="00BA4835">
        <w:rPr>
          <w:rFonts w:ascii="Arial" w:hAnsi="Arial" w:cs="Arial"/>
          <w:spacing w:val="-5"/>
        </w:rPr>
        <w:t xml:space="preserve"> </w:t>
      </w:r>
      <w:r w:rsidRPr="00BA4835">
        <w:rPr>
          <w:rFonts w:ascii="Arial" w:hAnsi="Arial" w:cs="Arial"/>
        </w:rPr>
        <w:t>to</w:t>
      </w:r>
      <w:r w:rsidRPr="00BA4835">
        <w:rPr>
          <w:rFonts w:ascii="Arial" w:hAnsi="Arial" w:cs="Arial"/>
          <w:spacing w:val="-6"/>
        </w:rPr>
        <w:t xml:space="preserve"> </w:t>
      </w:r>
      <w:r w:rsidRPr="00BA4835">
        <w:rPr>
          <w:rFonts w:ascii="Arial" w:hAnsi="Arial" w:cs="Arial"/>
        </w:rPr>
        <w:t>understand</w:t>
      </w:r>
      <w:r w:rsidRPr="00BA4835">
        <w:rPr>
          <w:rFonts w:ascii="Arial" w:hAnsi="Arial" w:cs="Arial"/>
          <w:spacing w:val="-3"/>
        </w:rPr>
        <w:t xml:space="preserve"> </w:t>
      </w:r>
      <w:r w:rsidRPr="00BA4835">
        <w:rPr>
          <w:rFonts w:ascii="Arial" w:hAnsi="Arial" w:cs="Arial"/>
        </w:rPr>
        <w:t>the</w:t>
      </w:r>
      <w:r w:rsidRPr="00BA4835">
        <w:rPr>
          <w:rFonts w:ascii="Arial" w:hAnsi="Arial" w:cs="Arial"/>
          <w:spacing w:val="-3"/>
        </w:rPr>
        <w:t xml:space="preserve"> </w:t>
      </w:r>
      <w:r w:rsidRPr="00BA4835">
        <w:rPr>
          <w:rFonts w:ascii="Arial" w:hAnsi="Arial" w:cs="Arial"/>
        </w:rPr>
        <w:t>quality</w:t>
      </w:r>
      <w:r w:rsidRPr="00BA4835">
        <w:rPr>
          <w:rFonts w:ascii="Arial" w:hAnsi="Arial" w:cs="Arial"/>
          <w:spacing w:val="-4"/>
        </w:rPr>
        <w:t xml:space="preserve"> </w:t>
      </w:r>
      <w:r w:rsidRPr="00BA4835">
        <w:rPr>
          <w:rFonts w:ascii="Arial" w:hAnsi="Arial" w:cs="Arial"/>
        </w:rPr>
        <w:t>of</w:t>
      </w:r>
      <w:r w:rsidRPr="00BA4835">
        <w:rPr>
          <w:rFonts w:ascii="Arial" w:hAnsi="Arial" w:cs="Arial"/>
          <w:spacing w:val="-3"/>
        </w:rPr>
        <w:t xml:space="preserve"> </w:t>
      </w:r>
      <w:r w:rsidRPr="00BA4835">
        <w:rPr>
          <w:rFonts w:ascii="Arial" w:hAnsi="Arial" w:cs="Arial"/>
        </w:rPr>
        <w:t>the</w:t>
      </w:r>
      <w:r w:rsidRPr="00BA4835">
        <w:rPr>
          <w:rFonts w:ascii="Arial" w:hAnsi="Arial" w:cs="Arial"/>
          <w:spacing w:val="-2"/>
        </w:rPr>
        <w:t xml:space="preserve"> </w:t>
      </w:r>
      <w:r w:rsidRPr="00BA4835">
        <w:rPr>
          <w:rFonts w:ascii="Arial" w:hAnsi="Arial" w:cs="Arial"/>
        </w:rPr>
        <w:t>service</w:t>
      </w:r>
      <w:r w:rsidRPr="00BA4835">
        <w:rPr>
          <w:rFonts w:ascii="Arial" w:hAnsi="Arial" w:cs="Arial"/>
          <w:spacing w:val="-5"/>
        </w:rPr>
        <w:t xml:space="preserve"> </w:t>
      </w:r>
      <w:r w:rsidRPr="00BA4835">
        <w:rPr>
          <w:rFonts w:ascii="Arial" w:hAnsi="Arial" w:cs="Arial"/>
        </w:rPr>
        <w:t>o</w:t>
      </w:r>
      <w:r w:rsidRPr="00BA4835">
        <w:rPr>
          <w:rFonts w:ascii="Arial" w:hAnsi="Arial" w:cs="Arial"/>
        </w:rPr>
        <w:t>n</w:t>
      </w:r>
      <w:r w:rsidRPr="00BA4835">
        <w:rPr>
          <w:rFonts w:ascii="Arial" w:hAnsi="Arial" w:cs="Arial"/>
          <w:spacing w:val="-5"/>
        </w:rPr>
        <w:t xml:space="preserve"> </w:t>
      </w:r>
      <w:r w:rsidRPr="00BA4835">
        <w:rPr>
          <w:rFonts w:ascii="Arial" w:hAnsi="Arial" w:cs="Arial"/>
        </w:rPr>
        <w:t>offer</w:t>
      </w:r>
      <w:r w:rsidRPr="00BA4835">
        <w:rPr>
          <w:rFonts w:ascii="Arial" w:hAnsi="Arial" w:cs="Arial"/>
          <w:spacing w:val="-3"/>
        </w:rPr>
        <w:t xml:space="preserve"> </w:t>
      </w:r>
      <w:r w:rsidRPr="00BA4835">
        <w:rPr>
          <w:rFonts w:ascii="Arial" w:hAnsi="Arial" w:cs="Arial"/>
        </w:rPr>
        <w:t>and</w:t>
      </w:r>
      <w:r w:rsidRPr="00BA4835">
        <w:rPr>
          <w:rFonts w:ascii="Arial" w:hAnsi="Arial" w:cs="Arial"/>
          <w:spacing w:val="-3"/>
        </w:rPr>
        <w:t xml:space="preserve"> </w:t>
      </w:r>
      <w:r w:rsidRPr="00BA4835">
        <w:rPr>
          <w:rFonts w:ascii="Arial" w:hAnsi="Arial" w:cs="Arial"/>
        </w:rPr>
        <w:t>how</w:t>
      </w:r>
      <w:r w:rsidRPr="00BA4835">
        <w:rPr>
          <w:rFonts w:ascii="Arial" w:hAnsi="Arial" w:cs="Arial"/>
          <w:spacing w:val="-3"/>
        </w:rPr>
        <w:t xml:space="preserve"> </w:t>
      </w:r>
      <w:r w:rsidRPr="00BA4835">
        <w:rPr>
          <w:rFonts w:ascii="Arial" w:hAnsi="Arial" w:cs="Arial"/>
        </w:rPr>
        <w:t>closely</w:t>
      </w:r>
      <w:r w:rsidRPr="00BA4835">
        <w:rPr>
          <w:rFonts w:ascii="Arial" w:hAnsi="Arial" w:cs="Arial"/>
          <w:spacing w:val="-2"/>
        </w:rPr>
        <w:t xml:space="preserve"> </w:t>
      </w:r>
      <w:r w:rsidRPr="00BA4835">
        <w:rPr>
          <w:rFonts w:ascii="Arial" w:hAnsi="Arial" w:cs="Arial"/>
        </w:rPr>
        <w:t>it</w:t>
      </w:r>
      <w:r w:rsidRPr="00BA4835">
        <w:rPr>
          <w:rFonts w:ascii="Arial" w:hAnsi="Arial" w:cs="Arial"/>
          <w:spacing w:val="-6"/>
        </w:rPr>
        <w:t xml:space="preserve"> </w:t>
      </w:r>
      <w:r w:rsidRPr="00BA4835">
        <w:rPr>
          <w:rFonts w:ascii="Arial" w:hAnsi="Arial" w:cs="Arial"/>
        </w:rPr>
        <w:t>meets</w:t>
      </w:r>
      <w:r w:rsidRPr="00BA4835">
        <w:rPr>
          <w:rFonts w:ascii="Arial" w:hAnsi="Arial" w:cs="Arial"/>
          <w:spacing w:val="-3"/>
        </w:rPr>
        <w:t xml:space="preserve"> </w:t>
      </w:r>
      <w:r w:rsidRPr="00BA4835">
        <w:rPr>
          <w:rFonts w:ascii="Arial" w:hAnsi="Arial" w:cs="Arial"/>
        </w:rPr>
        <w:t>the fidelity scale. There are a number of reasons we will need access to data, these</w:t>
      </w:r>
      <w:r w:rsidRPr="00BA4835">
        <w:rPr>
          <w:rFonts w:ascii="Arial" w:hAnsi="Arial" w:cs="Arial"/>
          <w:spacing w:val="-21"/>
        </w:rPr>
        <w:t xml:space="preserve"> </w:t>
      </w:r>
      <w:r w:rsidRPr="00BA4835">
        <w:rPr>
          <w:rFonts w:ascii="Arial" w:hAnsi="Arial" w:cs="Arial"/>
        </w:rPr>
        <w:t>include:</w:t>
      </w:r>
    </w:p>
    <w:p w14:paraId="53590194" w14:textId="4DD619BD" w:rsidR="00CA2041" w:rsidRPr="00BA4835" w:rsidRDefault="00BA4835">
      <w:pPr>
        <w:pStyle w:val="ListParagraph"/>
        <w:numPr>
          <w:ilvl w:val="0"/>
          <w:numId w:val="1"/>
        </w:numPr>
        <w:tabs>
          <w:tab w:val="left" w:pos="820"/>
          <w:tab w:val="left" w:pos="821"/>
        </w:tabs>
        <w:spacing w:before="165" w:line="256" w:lineRule="auto"/>
        <w:ind w:right="115"/>
        <w:rPr>
          <w:rFonts w:ascii="Arial" w:hAnsi="Arial" w:cs="Arial"/>
        </w:rPr>
      </w:pPr>
      <w:r>
        <w:rPr>
          <w:rFonts w:ascii="Arial" w:hAnsi="Arial" w:cs="Arial"/>
        </w:rPr>
        <w:t>T</w:t>
      </w:r>
      <w:r w:rsidR="006705E5" w:rsidRPr="00BA4835">
        <w:rPr>
          <w:rFonts w:ascii="Arial" w:hAnsi="Arial" w:cs="Arial"/>
        </w:rPr>
        <w:t>o assess and understand the quality of the work that Employment Specialists carry out with clients. This is to make sure that th</w:t>
      </w:r>
      <w:r w:rsidR="006705E5" w:rsidRPr="00BA4835">
        <w:rPr>
          <w:rFonts w:ascii="Arial" w:hAnsi="Arial" w:cs="Arial"/>
        </w:rPr>
        <w:t>ey are delivering a high-quality</w:t>
      </w:r>
      <w:r w:rsidR="006705E5" w:rsidRPr="00BA4835">
        <w:rPr>
          <w:rFonts w:ascii="Arial" w:hAnsi="Arial" w:cs="Arial"/>
          <w:spacing w:val="-9"/>
        </w:rPr>
        <w:t xml:space="preserve"> </w:t>
      </w:r>
      <w:r w:rsidR="006705E5" w:rsidRPr="00BA4835">
        <w:rPr>
          <w:rFonts w:ascii="Arial" w:hAnsi="Arial" w:cs="Arial"/>
        </w:rPr>
        <w:t>service</w:t>
      </w:r>
      <w:r>
        <w:rPr>
          <w:rFonts w:ascii="Arial" w:hAnsi="Arial" w:cs="Arial"/>
        </w:rPr>
        <w:t>.</w:t>
      </w:r>
    </w:p>
    <w:p w14:paraId="189E7BE9" w14:textId="6876B0D4" w:rsidR="00CA2041" w:rsidRPr="00BA4835" w:rsidRDefault="00BA4835">
      <w:pPr>
        <w:pStyle w:val="ListParagraph"/>
        <w:numPr>
          <w:ilvl w:val="0"/>
          <w:numId w:val="1"/>
        </w:numPr>
        <w:tabs>
          <w:tab w:val="left" w:pos="820"/>
          <w:tab w:val="left" w:pos="821"/>
        </w:tabs>
        <w:spacing w:before="4" w:line="259" w:lineRule="auto"/>
        <w:ind w:right="113"/>
        <w:rPr>
          <w:rFonts w:ascii="Arial" w:hAnsi="Arial" w:cs="Arial"/>
        </w:rPr>
      </w:pPr>
      <w:r>
        <w:rPr>
          <w:rFonts w:ascii="Arial" w:hAnsi="Arial" w:cs="Arial"/>
        </w:rPr>
        <w:t>T</w:t>
      </w:r>
      <w:r w:rsidR="006705E5" w:rsidRPr="00BA4835">
        <w:rPr>
          <w:rFonts w:ascii="Arial" w:hAnsi="Arial" w:cs="Arial"/>
        </w:rPr>
        <w:t>o understand how the service meets certain KPIs, such as the average time taken between a referral and first client</w:t>
      </w:r>
      <w:r w:rsidR="006705E5" w:rsidRPr="00BA4835">
        <w:rPr>
          <w:rFonts w:ascii="Arial" w:hAnsi="Arial" w:cs="Arial"/>
          <w:spacing w:val="-4"/>
        </w:rPr>
        <w:t xml:space="preserve"> </w:t>
      </w:r>
      <w:r w:rsidR="006705E5" w:rsidRPr="00BA4835">
        <w:rPr>
          <w:rFonts w:ascii="Arial" w:hAnsi="Arial" w:cs="Arial"/>
        </w:rPr>
        <w:t>meeting</w:t>
      </w:r>
      <w:r>
        <w:rPr>
          <w:rFonts w:ascii="Arial" w:hAnsi="Arial" w:cs="Arial"/>
        </w:rPr>
        <w:t>.</w:t>
      </w:r>
    </w:p>
    <w:p w14:paraId="130457C3" w14:textId="0CA8DEBB" w:rsidR="00CA2041" w:rsidRPr="00BA4835" w:rsidRDefault="00BA4835">
      <w:pPr>
        <w:pStyle w:val="ListParagraph"/>
        <w:numPr>
          <w:ilvl w:val="0"/>
          <w:numId w:val="1"/>
        </w:numPr>
        <w:tabs>
          <w:tab w:val="left" w:pos="820"/>
          <w:tab w:val="left" w:pos="821"/>
        </w:tabs>
        <w:spacing w:before="0" w:line="279" w:lineRule="exact"/>
        <w:ind w:hanging="361"/>
        <w:rPr>
          <w:rFonts w:ascii="Arial" w:hAnsi="Arial" w:cs="Arial"/>
        </w:rPr>
      </w:pPr>
      <w:r>
        <w:rPr>
          <w:rFonts w:ascii="Arial" w:hAnsi="Arial" w:cs="Arial"/>
        </w:rPr>
        <w:t>T</w:t>
      </w:r>
      <w:r w:rsidR="006705E5" w:rsidRPr="00BA4835">
        <w:rPr>
          <w:rFonts w:ascii="Arial" w:hAnsi="Arial" w:cs="Arial"/>
        </w:rPr>
        <w:t>o understand the governance and management processes around the</w:t>
      </w:r>
      <w:r w:rsidR="006705E5" w:rsidRPr="00BA4835">
        <w:rPr>
          <w:rFonts w:ascii="Arial" w:hAnsi="Arial" w:cs="Arial"/>
          <w:spacing w:val="-8"/>
        </w:rPr>
        <w:t xml:space="preserve"> </w:t>
      </w:r>
      <w:r w:rsidR="006705E5" w:rsidRPr="00BA4835">
        <w:rPr>
          <w:rFonts w:ascii="Arial" w:hAnsi="Arial" w:cs="Arial"/>
        </w:rPr>
        <w:t>service</w:t>
      </w:r>
      <w:r>
        <w:rPr>
          <w:rFonts w:ascii="Arial" w:hAnsi="Arial" w:cs="Arial"/>
        </w:rPr>
        <w:t>.</w:t>
      </w:r>
    </w:p>
    <w:p w14:paraId="28A79D92" w14:textId="0933F8D8" w:rsidR="00CA2041" w:rsidRPr="00BA4835" w:rsidRDefault="00BA4835">
      <w:pPr>
        <w:pStyle w:val="ListParagraph"/>
        <w:numPr>
          <w:ilvl w:val="0"/>
          <w:numId w:val="1"/>
        </w:numPr>
        <w:tabs>
          <w:tab w:val="left" w:pos="820"/>
          <w:tab w:val="left" w:pos="821"/>
        </w:tabs>
        <w:spacing w:line="259" w:lineRule="auto"/>
        <w:ind w:right="112"/>
        <w:rPr>
          <w:rFonts w:ascii="Arial" w:hAnsi="Arial" w:cs="Arial"/>
        </w:rPr>
      </w:pPr>
      <w:r>
        <w:rPr>
          <w:rFonts w:ascii="Arial" w:hAnsi="Arial" w:cs="Arial"/>
        </w:rPr>
        <w:t>T</w:t>
      </w:r>
      <w:r w:rsidR="006705E5" w:rsidRPr="00BA4835">
        <w:rPr>
          <w:rFonts w:ascii="Arial" w:hAnsi="Arial" w:cs="Arial"/>
        </w:rPr>
        <w:t>o understand how the service markets itself and builds referrals and integration with clinical teams.</w:t>
      </w:r>
    </w:p>
    <w:p w14:paraId="4154B9B0" w14:textId="77777777" w:rsidR="00CA2041" w:rsidRPr="00BA4835" w:rsidRDefault="006705E5">
      <w:pPr>
        <w:pStyle w:val="BodyText"/>
        <w:spacing w:before="159"/>
        <w:rPr>
          <w:rFonts w:ascii="Arial" w:hAnsi="Arial" w:cs="Arial"/>
        </w:rPr>
      </w:pPr>
      <w:r w:rsidRPr="00BA4835">
        <w:rPr>
          <w:rFonts w:ascii="Arial" w:hAnsi="Arial" w:cs="Arial"/>
        </w:rPr>
        <w:t>To help us assess the above, we will need access to the following sources of information:</w:t>
      </w:r>
    </w:p>
    <w:p w14:paraId="6A6471FF" w14:textId="77777777" w:rsidR="00CA2041" w:rsidRPr="00BA4835" w:rsidRDefault="006705E5">
      <w:pPr>
        <w:pStyle w:val="ListParagraph"/>
        <w:numPr>
          <w:ilvl w:val="0"/>
          <w:numId w:val="1"/>
        </w:numPr>
        <w:tabs>
          <w:tab w:val="left" w:pos="865"/>
          <w:tab w:val="left" w:pos="866"/>
        </w:tabs>
        <w:spacing w:before="183" w:line="256" w:lineRule="auto"/>
        <w:ind w:left="866" w:right="115"/>
        <w:rPr>
          <w:rFonts w:ascii="Arial" w:hAnsi="Arial" w:cs="Arial"/>
        </w:rPr>
      </w:pPr>
      <w:r w:rsidRPr="00BA4835">
        <w:rPr>
          <w:rFonts w:ascii="Arial" w:hAnsi="Arial" w:cs="Arial"/>
        </w:rPr>
        <w:t>To</w:t>
      </w:r>
      <w:r w:rsidRPr="00BA4835">
        <w:rPr>
          <w:rFonts w:ascii="Arial" w:hAnsi="Arial" w:cs="Arial"/>
          <w:spacing w:val="-12"/>
        </w:rPr>
        <w:t xml:space="preserve"> </w:t>
      </w:r>
      <w:r w:rsidRPr="00BA4835">
        <w:rPr>
          <w:rFonts w:ascii="Arial" w:hAnsi="Arial" w:cs="Arial"/>
        </w:rPr>
        <w:t>assess</w:t>
      </w:r>
      <w:r w:rsidRPr="00BA4835">
        <w:rPr>
          <w:rFonts w:ascii="Arial" w:hAnsi="Arial" w:cs="Arial"/>
          <w:spacing w:val="-15"/>
        </w:rPr>
        <w:t xml:space="preserve"> </w:t>
      </w:r>
      <w:r w:rsidRPr="00BA4835">
        <w:rPr>
          <w:rFonts w:ascii="Arial" w:hAnsi="Arial" w:cs="Arial"/>
        </w:rPr>
        <w:t>quality</w:t>
      </w:r>
      <w:r w:rsidRPr="00BA4835">
        <w:rPr>
          <w:rFonts w:ascii="Arial" w:hAnsi="Arial" w:cs="Arial"/>
          <w:spacing w:val="-14"/>
        </w:rPr>
        <w:t xml:space="preserve"> </w:t>
      </w:r>
      <w:r w:rsidRPr="00BA4835">
        <w:rPr>
          <w:rFonts w:ascii="Arial" w:hAnsi="Arial" w:cs="Arial"/>
        </w:rPr>
        <w:t>of</w:t>
      </w:r>
      <w:r w:rsidRPr="00BA4835">
        <w:rPr>
          <w:rFonts w:ascii="Arial" w:hAnsi="Arial" w:cs="Arial"/>
          <w:spacing w:val="-15"/>
        </w:rPr>
        <w:t xml:space="preserve"> </w:t>
      </w:r>
      <w:r w:rsidRPr="00BA4835">
        <w:rPr>
          <w:rFonts w:ascii="Arial" w:hAnsi="Arial" w:cs="Arial"/>
        </w:rPr>
        <w:t>work</w:t>
      </w:r>
      <w:r w:rsidRPr="00BA4835">
        <w:rPr>
          <w:rFonts w:ascii="Arial" w:hAnsi="Arial" w:cs="Arial"/>
          <w:spacing w:val="-15"/>
        </w:rPr>
        <w:t xml:space="preserve"> </w:t>
      </w:r>
      <w:r w:rsidRPr="00BA4835">
        <w:rPr>
          <w:rFonts w:ascii="Arial" w:hAnsi="Arial" w:cs="Arial"/>
        </w:rPr>
        <w:t>with</w:t>
      </w:r>
      <w:r w:rsidRPr="00BA4835">
        <w:rPr>
          <w:rFonts w:ascii="Arial" w:hAnsi="Arial" w:cs="Arial"/>
          <w:spacing w:val="-13"/>
        </w:rPr>
        <w:t xml:space="preserve"> </w:t>
      </w:r>
      <w:r w:rsidRPr="00BA4835">
        <w:rPr>
          <w:rFonts w:ascii="Arial" w:hAnsi="Arial" w:cs="Arial"/>
        </w:rPr>
        <w:t>clients:</w:t>
      </w:r>
      <w:r w:rsidRPr="00BA4835">
        <w:rPr>
          <w:rFonts w:ascii="Arial" w:hAnsi="Arial" w:cs="Arial"/>
          <w:spacing w:val="-11"/>
        </w:rPr>
        <w:t xml:space="preserve"> </w:t>
      </w:r>
      <w:r w:rsidRPr="00BA4835">
        <w:rPr>
          <w:rFonts w:ascii="Arial" w:hAnsi="Arial" w:cs="Arial"/>
        </w:rPr>
        <w:t>client</w:t>
      </w:r>
      <w:r w:rsidRPr="00BA4835">
        <w:rPr>
          <w:rFonts w:ascii="Arial" w:hAnsi="Arial" w:cs="Arial"/>
          <w:spacing w:val="-15"/>
        </w:rPr>
        <w:t xml:space="preserve"> </w:t>
      </w:r>
      <w:r w:rsidRPr="00BA4835">
        <w:rPr>
          <w:rFonts w:ascii="Arial" w:hAnsi="Arial" w:cs="Arial"/>
        </w:rPr>
        <w:t>employment</w:t>
      </w:r>
      <w:r w:rsidRPr="00BA4835">
        <w:rPr>
          <w:rFonts w:ascii="Arial" w:hAnsi="Arial" w:cs="Arial"/>
          <w:spacing w:val="-12"/>
        </w:rPr>
        <w:t xml:space="preserve"> </w:t>
      </w:r>
      <w:r w:rsidRPr="00BA4835">
        <w:rPr>
          <w:rFonts w:ascii="Arial" w:hAnsi="Arial" w:cs="Arial"/>
        </w:rPr>
        <w:t>profi</w:t>
      </w:r>
      <w:r w:rsidRPr="00BA4835">
        <w:rPr>
          <w:rFonts w:ascii="Arial" w:hAnsi="Arial" w:cs="Arial"/>
        </w:rPr>
        <w:t>les</w:t>
      </w:r>
      <w:r w:rsidRPr="00BA4835">
        <w:rPr>
          <w:rFonts w:ascii="Arial" w:hAnsi="Arial" w:cs="Arial"/>
          <w:spacing w:val="-13"/>
        </w:rPr>
        <w:t xml:space="preserve"> </w:t>
      </w:r>
      <w:r w:rsidRPr="00BA4835">
        <w:rPr>
          <w:rFonts w:ascii="Arial" w:hAnsi="Arial" w:cs="Arial"/>
        </w:rPr>
        <w:t>and</w:t>
      </w:r>
      <w:r w:rsidRPr="00BA4835">
        <w:rPr>
          <w:rFonts w:ascii="Arial" w:hAnsi="Arial" w:cs="Arial"/>
          <w:spacing w:val="-14"/>
        </w:rPr>
        <w:t xml:space="preserve"> </w:t>
      </w:r>
      <w:r w:rsidRPr="00BA4835">
        <w:rPr>
          <w:rFonts w:ascii="Arial" w:hAnsi="Arial" w:cs="Arial"/>
        </w:rPr>
        <w:t>action</w:t>
      </w:r>
      <w:r w:rsidRPr="00BA4835">
        <w:rPr>
          <w:rFonts w:ascii="Arial" w:hAnsi="Arial" w:cs="Arial"/>
          <w:spacing w:val="-14"/>
        </w:rPr>
        <w:t xml:space="preserve"> </w:t>
      </w:r>
      <w:r w:rsidRPr="00BA4835">
        <w:rPr>
          <w:rFonts w:ascii="Arial" w:hAnsi="Arial" w:cs="Arial"/>
        </w:rPr>
        <w:t>plans,</w:t>
      </w:r>
      <w:r w:rsidRPr="00BA4835">
        <w:rPr>
          <w:rFonts w:ascii="Arial" w:hAnsi="Arial" w:cs="Arial"/>
          <w:spacing w:val="-15"/>
        </w:rPr>
        <w:t xml:space="preserve"> </w:t>
      </w:r>
      <w:r w:rsidRPr="00BA4835">
        <w:rPr>
          <w:rFonts w:ascii="Arial" w:hAnsi="Arial" w:cs="Arial"/>
        </w:rPr>
        <w:t>case</w:t>
      </w:r>
      <w:r w:rsidRPr="00BA4835">
        <w:rPr>
          <w:rFonts w:ascii="Arial" w:hAnsi="Arial" w:cs="Arial"/>
          <w:spacing w:val="-15"/>
        </w:rPr>
        <w:t xml:space="preserve"> </w:t>
      </w:r>
      <w:r w:rsidRPr="00BA4835">
        <w:rPr>
          <w:rFonts w:ascii="Arial" w:hAnsi="Arial" w:cs="Arial"/>
        </w:rPr>
        <w:t>notes, employer engagement logs, interviews with</w:t>
      </w:r>
      <w:r w:rsidRPr="00BA4835">
        <w:rPr>
          <w:rFonts w:ascii="Arial" w:hAnsi="Arial" w:cs="Arial"/>
          <w:spacing w:val="-7"/>
        </w:rPr>
        <w:t xml:space="preserve"> </w:t>
      </w:r>
      <w:r w:rsidRPr="00BA4835">
        <w:rPr>
          <w:rFonts w:ascii="Arial" w:hAnsi="Arial" w:cs="Arial"/>
        </w:rPr>
        <w:t>clients.</w:t>
      </w:r>
    </w:p>
    <w:p w14:paraId="2A763468" w14:textId="77777777" w:rsidR="00CA2041" w:rsidRPr="00BA4835" w:rsidRDefault="006705E5">
      <w:pPr>
        <w:pStyle w:val="ListParagraph"/>
        <w:numPr>
          <w:ilvl w:val="0"/>
          <w:numId w:val="1"/>
        </w:numPr>
        <w:tabs>
          <w:tab w:val="left" w:pos="865"/>
          <w:tab w:val="left" w:pos="866"/>
        </w:tabs>
        <w:spacing w:before="4" w:line="259" w:lineRule="auto"/>
        <w:ind w:left="866" w:right="123"/>
        <w:rPr>
          <w:rFonts w:ascii="Arial" w:hAnsi="Arial" w:cs="Arial"/>
        </w:rPr>
      </w:pPr>
      <w:r w:rsidRPr="00BA4835">
        <w:rPr>
          <w:rFonts w:ascii="Arial" w:hAnsi="Arial" w:cs="Arial"/>
        </w:rPr>
        <w:t>To assess how KPIs are met: access to service data sheets containing information such as referral date, engagement date, job start</w:t>
      </w:r>
      <w:r w:rsidRPr="00BA4835">
        <w:rPr>
          <w:rFonts w:ascii="Arial" w:hAnsi="Arial" w:cs="Arial"/>
          <w:spacing w:val="-6"/>
        </w:rPr>
        <w:t xml:space="preserve"> </w:t>
      </w:r>
      <w:r w:rsidRPr="00BA4835">
        <w:rPr>
          <w:rFonts w:ascii="Arial" w:hAnsi="Arial" w:cs="Arial"/>
        </w:rPr>
        <w:t>date.</w:t>
      </w:r>
    </w:p>
    <w:p w14:paraId="13C53B6C" w14:textId="45755645" w:rsidR="00CA2041" w:rsidRPr="00BA4835" w:rsidRDefault="006705E5">
      <w:pPr>
        <w:pStyle w:val="ListParagraph"/>
        <w:numPr>
          <w:ilvl w:val="0"/>
          <w:numId w:val="1"/>
        </w:numPr>
        <w:tabs>
          <w:tab w:val="left" w:pos="865"/>
          <w:tab w:val="left" w:pos="866"/>
        </w:tabs>
        <w:spacing w:before="0" w:line="259" w:lineRule="auto"/>
        <w:ind w:left="866" w:right="119"/>
        <w:rPr>
          <w:rFonts w:ascii="Arial" w:hAnsi="Arial" w:cs="Arial"/>
        </w:rPr>
      </w:pPr>
      <w:r w:rsidRPr="00BA4835">
        <w:rPr>
          <w:rFonts w:ascii="Arial" w:hAnsi="Arial" w:cs="Arial"/>
        </w:rPr>
        <w:t>To understand governance and manag</w:t>
      </w:r>
      <w:r w:rsidRPr="00BA4835">
        <w:rPr>
          <w:rFonts w:ascii="Arial" w:hAnsi="Arial" w:cs="Arial"/>
        </w:rPr>
        <w:t>ement processes: interviews with managers, notes from governance</w:t>
      </w:r>
      <w:r w:rsidRPr="00BA4835">
        <w:rPr>
          <w:rFonts w:ascii="Arial" w:hAnsi="Arial" w:cs="Arial"/>
          <w:spacing w:val="-5"/>
        </w:rPr>
        <w:t xml:space="preserve"> </w:t>
      </w:r>
      <w:r w:rsidRPr="00BA4835">
        <w:rPr>
          <w:rFonts w:ascii="Arial" w:hAnsi="Arial" w:cs="Arial"/>
        </w:rPr>
        <w:t>meetings</w:t>
      </w:r>
      <w:r w:rsidR="00BA4835">
        <w:rPr>
          <w:rFonts w:ascii="Arial" w:hAnsi="Arial" w:cs="Arial"/>
        </w:rPr>
        <w:t>.</w:t>
      </w:r>
    </w:p>
    <w:p w14:paraId="10855636" w14:textId="77777777" w:rsidR="00CA2041" w:rsidRPr="00BA4835" w:rsidRDefault="006705E5">
      <w:pPr>
        <w:pStyle w:val="ListParagraph"/>
        <w:numPr>
          <w:ilvl w:val="0"/>
          <w:numId w:val="1"/>
        </w:numPr>
        <w:tabs>
          <w:tab w:val="left" w:pos="865"/>
          <w:tab w:val="left" w:pos="866"/>
        </w:tabs>
        <w:spacing w:before="0" w:line="256" w:lineRule="auto"/>
        <w:ind w:left="866" w:right="119"/>
        <w:rPr>
          <w:rFonts w:ascii="Arial" w:hAnsi="Arial" w:cs="Arial"/>
        </w:rPr>
      </w:pPr>
      <w:r w:rsidRPr="00BA4835">
        <w:rPr>
          <w:rFonts w:ascii="Arial" w:hAnsi="Arial" w:cs="Arial"/>
        </w:rPr>
        <w:t>To</w:t>
      </w:r>
      <w:r w:rsidRPr="00BA4835">
        <w:rPr>
          <w:rFonts w:ascii="Arial" w:hAnsi="Arial" w:cs="Arial"/>
          <w:spacing w:val="-5"/>
        </w:rPr>
        <w:t xml:space="preserve"> </w:t>
      </w:r>
      <w:r w:rsidRPr="00BA4835">
        <w:rPr>
          <w:rFonts w:ascii="Arial" w:hAnsi="Arial" w:cs="Arial"/>
        </w:rPr>
        <w:t>understand</w:t>
      </w:r>
      <w:r w:rsidRPr="00BA4835">
        <w:rPr>
          <w:rFonts w:ascii="Arial" w:hAnsi="Arial" w:cs="Arial"/>
          <w:spacing w:val="-7"/>
        </w:rPr>
        <w:t xml:space="preserve"> </w:t>
      </w:r>
      <w:r w:rsidRPr="00BA4835">
        <w:rPr>
          <w:rFonts w:ascii="Arial" w:hAnsi="Arial" w:cs="Arial"/>
        </w:rPr>
        <w:t>integration:</w:t>
      </w:r>
      <w:r w:rsidRPr="00BA4835">
        <w:rPr>
          <w:rFonts w:ascii="Arial" w:hAnsi="Arial" w:cs="Arial"/>
          <w:spacing w:val="-7"/>
        </w:rPr>
        <w:t xml:space="preserve"> </w:t>
      </w:r>
      <w:r w:rsidRPr="00BA4835">
        <w:rPr>
          <w:rFonts w:ascii="Arial" w:hAnsi="Arial" w:cs="Arial"/>
        </w:rPr>
        <w:t>interviews</w:t>
      </w:r>
      <w:r w:rsidRPr="00BA4835">
        <w:rPr>
          <w:rFonts w:ascii="Arial" w:hAnsi="Arial" w:cs="Arial"/>
          <w:spacing w:val="-5"/>
        </w:rPr>
        <w:t xml:space="preserve"> </w:t>
      </w:r>
      <w:r w:rsidRPr="00BA4835">
        <w:rPr>
          <w:rFonts w:ascii="Arial" w:hAnsi="Arial" w:cs="Arial"/>
        </w:rPr>
        <w:t>with</w:t>
      </w:r>
      <w:r w:rsidRPr="00BA4835">
        <w:rPr>
          <w:rFonts w:ascii="Arial" w:hAnsi="Arial" w:cs="Arial"/>
          <w:spacing w:val="-4"/>
        </w:rPr>
        <w:t xml:space="preserve"> </w:t>
      </w:r>
      <w:r w:rsidRPr="00BA4835">
        <w:rPr>
          <w:rFonts w:ascii="Arial" w:hAnsi="Arial" w:cs="Arial"/>
        </w:rPr>
        <w:t>clinical</w:t>
      </w:r>
      <w:r w:rsidRPr="00BA4835">
        <w:rPr>
          <w:rFonts w:ascii="Arial" w:hAnsi="Arial" w:cs="Arial"/>
          <w:spacing w:val="-7"/>
        </w:rPr>
        <w:t xml:space="preserve"> </w:t>
      </w:r>
      <w:r w:rsidRPr="00BA4835">
        <w:rPr>
          <w:rFonts w:ascii="Arial" w:hAnsi="Arial" w:cs="Arial"/>
        </w:rPr>
        <w:t>team</w:t>
      </w:r>
      <w:r w:rsidRPr="00BA4835">
        <w:rPr>
          <w:rFonts w:ascii="Arial" w:hAnsi="Arial" w:cs="Arial"/>
          <w:spacing w:val="-5"/>
        </w:rPr>
        <w:t xml:space="preserve"> </w:t>
      </w:r>
      <w:r w:rsidRPr="00BA4835">
        <w:rPr>
          <w:rFonts w:ascii="Arial" w:hAnsi="Arial" w:cs="Arial"/>
        </w:rPr>
        <w:t>members,</w:t>
      </w:r>
      <w:r w:rsidRPr="00BA4835">
        <w:rPr>
          <w:rFonts w:ascii="Arial" w:hAnsi="Arial" w:cs="Arial"/>
          <w:spacing w:val="-5"/>
        </w:rPr>
        <w:t xml:space="preserve"> </w:t>
      </w:r>
      <w:r w:rsidRPr="00BA4835">
        <w:rPr>
          <w:rFonts w:ascii="Arial" w:hAnsi="Arial" w:cs="Arial"/>
        </w:rPr>
        <w:t>marketing</w:t>
      </w:r>
      <w:r w:rsidRPr="00BA4835">
        <w:rPr>
          <w:rFonts w:ascii="Arial" w:hAnsi="Arial" w:cs="Arial"/>
          <w:spacing w:val="-6"/>
        </w:rPr>
        <w:t xml:space="preserve"> </w:t>
      </w:r>
      <w:r w:rsidRPr="00BA4835">
        <w:rPr>
          <w:rFonts w:ascii="Arial" w:hAnsi="Arial" w:cs="Arial"/>
        </w:rPr>
        <w:t>materials,</w:t>
      </w:r>
      <w:r w:rsidRPr="00BA4835">
        <w:rPr>
          <w:rFonts w:ascii="Arial" w:hAnsi="Arial" w:cs="Arial"/>
          <w:spacing w:val="-6"/>
        </w:rPr>
        <w:t xml:space="preserve"> </w:t>
      </w:r>
      <w:r w:rsidRPr="00BA4835">
        <w:rPr>
          <w:rFonts w:ascii="Arial" w:hAnsi="Arial" w:cs="Arial"/>
        </w:rPr>
        <w:t>case notes.</w:t>
      </w:r>
    </w:p>
    <w:p w14:paraId="6648FD07" w14:textId="612EE7E9" w:rsidR="00CA2041" w:rsidRPr="00BA4835" w:rsidRDefault="006705E5">
      <w:pPr>
        <w:pStyle w:val="BodyText"/>
        <w:spacing w:before="165" w:line="259" w:lineRule="auto"/>
        <w:ind w:right="113"/>
        <w:jc w:val="both"/>
        <w:rPr>
          <w:rFonts w:ascii="Arial" w:hAnsi="Arial" w:cs="Arial"/>
        </w:rPr>
      </w:pPr>
      <w:r w:rsidRPr="00BA4835">
        <w:rPr>
          <w:rFonts w:ascii="Arial" w:hAnsi="Arial" w:cs="Arial"/>
        </w:rPr>
        <w:t xml:space="preserve">These lists are not </w:t>
      </w:r>
      <w:r w:rsidR="00BA4835" w:rsidRPr="00BA4835">
        <w:rPr>
          <w:rFonts w:ascii="Arial" w:hAnsi="Arial" w:cs="Arial"/>
        </w:rPr>
        <w:t>exhaustive but</w:t>
      </w:r>
      <w:r w:rsidRPr="00BA4835">
        <w:rPr>
          <w:rFonts w:ascii="Arial" w:hAnsi="Arial" w:cs="Arial"/>
        </w:rPr>
        <w:t xml:space="preserve"> give an idea of the kind</w:t>
      </w:r>
      <w:r w:rsidRPr="00BA4835">
        <w:rPr>
          <w:rFonts w:ascii="Arial" w:hAnsi="Arial" w:cs="Arial"/>
        </w:rPr>
        <w:t xml:space="preserve"> of data we will need to see. A document explaining all the data that we need to see as part of the fidelity review and why will be shared separately.</w:t>
      </w:r>
    </w:p>
    <w:p w14:paraId="191FE437" w14:textId="77777777" w:rsidR="00CA2041" w:rsidRPr="00BA4835" w:rsidRDefault="00CA2041">
      <w:pPr>
        <w:spacing w:line="259" w:lineRule="auto"/>
        <w:jc w:val="both"/>
        <w:rPr>
          <w:rFonts w:ascii="Arial" w:hAnsi="Arial" w:cs="Arial"/>
        </w:rPr>
        <w:sectPr w:rsidR="00CA2041" w:rsidRPr="00BA4835">
          <w:pgSz w:w="11910" w:h="16840"/>
          <w:pgMar w:top="1440" w:right="1320" w:bottom="280" w:left="1340" w:header="283" w:footer="0" w:gutter="0"/>
          <w:cols w:space="720"/>
        </w:sectPr>
      </w:pPr>
    </w:p>
    <w:p w14:paraId="5EB882A0" w14:textId="77777777" w:rsidR="00BA4835" w:rsidRDefault="00BA4835">
      <w:pPr>
        <w:pStyle w:val="BodyText"/>
        <w:spacing w:line="252" w:lineRule="exact"/>
        <w:rPr>
          <w:rFonts w:ascii="Arial" w:hAnsi="Arial" w:cs="Arial"/>
        </w:rPr>
      </w:pPr>
    </w:p>
    <w:p w14:paraId="707EB86C" w14:textId="0509FF68" w:rsidR="00CA2041" w:rsidRPr="00BA4835" w:rsidRDefault="006705E5" w:rsidP="00BA4835">
      <w:pPr>
        <w:pStyle w:val="BodyText"/>
        <w:spacing w:line="252" w:lineRule="exact"/>
        <w:rPr>
          <w:rFonts w:ascii="Arial" w:hAnsi="Arial" w:cs="Arial"/>
        </w:rPr>
      </w:pPr>
      <w:r w:rsidRPr="00BA4835">
        <w:rPr>
          <w:rFonts w:ascii="Arial" w:hAnsi="Arial" w:cs="Arial"/>
        </w:rPr>
        <w:t>This evidence is required at</w:t>
      </w:r>
      <w:r w:rsidRPr="00BA4835">
        <w:rPr>
          <w:rFonts w:ascii="Arial" w:hAnsi="Arial" w:cs="Arial"/>
        </w:rPr>
        <w:t xml:space="preserve"> least 2 weeks before the date of the review, so that we can understand</w:t>
      </w:r>
      <w:r w:rsidR="00BA4835">
        <w:rPr>
          <w:rFonts w:ascii="Arial" w:hAnsi="Arial" w:cs="Arial"/>
        </w:rPr>
        <w:t xml:space="preserve"> </w:t>
      </w:r>
      <w:r w:rsidRPr="00BA4835">
        <w:rPr>
          <w:rFonts w:ascii="Arial" w:hAnsi="Arial" w:cs="Arial"/>
        </w:rPr>
        <w:t>how your service is operating before the review.</w:t>
      </w:r>
    </w:p>
    <w:p w14:paraId="4875F0F5" w14:textId="77777777" w:rsidR="00CA2041" w:rsidRPr="00BA4835" w:rsidRDefault="00CA2041">
      <w:pPr>
        <w:pStyle w:val="BodyText"/>
        <w:ind w:left="0"/>
        <w:rPr>
          <w:rFonts w:ascii="Arial" w:hAnsi="Arial" w:cs="Arial"/>
        </w:rPr>
      </w:pPr>
    </w:p>
    <w:p w14:paraId="600CDC7B" w14:textId="77777777" w:rsidR="00CA2041" w:rsidRPr="00BA4835" w:rsidRDefault="006705E5">
      <w:pPr>
        <w:pStyle w:val="Heading1"/>
        <w:rPr>
          <w:rFonts w:ascii="Arial" w:hAnsi="Arial" w:cs="Arial"/>
          <w:color w:val="000000" w:themeColor="text1"/>
        </w:rPr>
      </w:pPr>
      <w:r w:rsidRPr="00BA4835">
        <w:rPr>
          <w:rFonts w:ascii="Arial" w:hAnsi="Arial" w:cs="Arial"/>
          <w:color w:val="000000" w:themeColor="text1"/>
        </w:rPr>
        <w:t>Will our service need to share personal data with you through the review?</w:t>
      </w:r>
    </w:p>
    <w:p w14:paraId="68734DFF" w14:textId="77777777" w:rsidR="00CA2041" w:rsidRPr="00BA4835" w:rsidRDefault="006705E5">
      <w:pPr>
        <w:pStyle w:val="BodyText"/>
        <w:spacing w:before="180" w:line="259" w:lineRule="auto"/>
        <w:ind w:right="288"/>
        <w:rPr>
          <w:rFonts w:ascii="Arial" w:hAnsi="Arial" w:cs="Arial"/>
        </w:rPr>
      </w:pPr>
      <w:r w:rsidRPr="00BA4835">
        <w:rPr>
          <w:rFonts w:ascii="Arial" w:hAnsi="Arial" w:cs="Arial"/>
        </w:rPr>
        <w:t>Yes. Under the Data Protection Act 2018, personal data is defined as any information relating to a person (a data subject) that is either identifiable in the data, or who could be id</w:t>
      </w:r>
      <w:r w:rsidRPr="00BA4835">
        <w:rPr>
          <w:rFonts w:ascii="Arial" w:hAnsi="Arial" w:cs="Arial"/>
        </w:rPr>
        <w:t>entified using other means, such as an identification number.</w:t>
      </w:r>
    </w:p>
    <w:p w14:paraId="2A841E62" w14:textId="77777777" w:rsidR="00CA2041" w:rsidRPr="00BA4835" w:rsidRDefault="006705E5">
      <w:pPr>
        <w:pStyle w:val="BodyText"/>
        <w:spacing w:before="160" w:line="259" w:lineRule="auto"/>
        <w:ind w:right="439"/>
        <w:jc w:val="both"/>
        <w:rPr>
          <w:rFonts w:ascii="Arial" w:hAnsi="Arial" w:cs="Arial"/>
        </w:rPr>
      </w:pPr>
      <w:r w:rsidRPr="00BA4835">
        <w:rPr>
          <w:rFonts w:ascii="Arial" w:hAnsi="Arial" w:cs="Arial"/>
        </w:rPr>
        <w:t>Some of the data listed above, such as service marketing materials, does not relate to individuals. However, service data sheets, client case notes, employment profiles and action plans all cont</w:t>
      </w:r>
      <w:r w:rsidRPr="00BA4835">
        <w:rPr>
          <w:rFonts w:ascii="Arial" w:hAnsi="Arial" w:cs="Arial"/>
        </w:rPr>
        <w:t>ain personal data.</w:t>
      </w:r>
    </w:p>
    <w:p w14:paraId="298E5AE9" w14:textId="77777777" w:rsidR="00CA2041" w:rsidRPr="00BA4835" w:rsidRDefault="006705E5">
      <w:pPr>
        <w:pStyle w:val="BodyText"/>
        <w:spacing w:before="160" w:line="259" w:lineRule="auto"/>
        <w:ind w:right="288"/>
        <w:rPr>
          <w:rFonts w:ascii="Arial" w:hAnsi="Arial" w:cs="Arial"/>
        </w:rPr>
      </w:pPr>
      <w:r w:rsidRPr="00BA4835">
        <w:rPr>
          <w:rFonts w:ascii="Arial" w:hAnsi="Arial" w:cs="Arial"/>
        </w:rPr>
        <w:t xml:space="preserve">As far as possible, data shared with us through the review should be anonymised. For example, service data sheets should have client names and date of birth removed. Case notes, employment profiles and action plans can have identifiable </w:t>
      </w:r>
      <w:r w:rsidRPr="00BA4835">
        <w:rPr>
          <w:rFonts w:ascii="Arial" w:hAnsi="Arial" w:cs="Arial"/>
        </w:rPr>
        <w:t>data such as names and date of birth redacted to protect client confidentiality. However, redaction is not a failsafe method, and service data sheets will still contain individual level data. For this reason, we will treat data received as personal data an</w:t>
      </w:r>
      <w:r w:rsidRPr="00BA4835">
        <w:rPr>
          <w:rFonts w:ascii="Arial" w:hAnsi="Arial" w:cs="Arial"/>
        </w:rPr>
        <w:t>d protect it accordingly.</w:t>
      </w:r>
    </w:p>
    <w:p w14:paraId="71E2238D" w14:textId="77777777" w:rsidR="00CA2041" w:rsidRPr="00BA4835" w:rsidRDefault="00CA2041">
      <w:pPr>
        <w:pStyle w:val="BodyText"/>
        <w:spacing w:before="11"/>
        <w:ind w:left="0"/>
        <w:rPr>
          <w:rFonts w:ascii="Arial" w:hAnsi="Arial" w:cs="Arial"/>
        </w:rPr>
      </w:pPr>
    </w:p>
    <w:p w14:paraId="0B7AD941" w14:textId="77777777" w:rsidR="00CA2041" w:rsidRPr="00BA4835" w:rsidRDefault="006705E5">
      <w:pPr>
        <w:pStyle w:val="Heading1"/>
        <w:rPr>
          <w:rFonts w:ascii="Arial" w:hAnsi="Arial" w:cs="Arial"/>
          <w:color w:val="000000" w:themeColor="text1"/>
        </w:rPr>
      </w:pPr>
      <w:r w:rsidRPr="00BA4835">
        <w:rPr>
          <w:rFonts w:ascii="Arial" w:hAnsi="Arial" w:cs="Arial"/>
          <w:color w:val="000000" w:themeColor="text1"/>
        </w:rPr>
        <w:t>What are our data sharing roles and responsibilities?</w:t>
      </w:r>
    </w:p>
    <w:p w14:paraId="02ED3E00" w14:textId="77777777" w:rsidR="00CA2041" w:rsidRPr="00BA4835" w:rsidRDefault="006705E5">
      <w:pPr>
        <w:pStyle w:val="BodyText"/>
        <w:spacing w:before="180" w:line="259" w:lineRule="auto"/>
        <w:ind w:right="241"/>
        <w:rPr>
          <w:rFonts w:ascii="Arial" w:hAnsi="Arial" w:cs="Arial"/>
        </w:rPr>
      </w:pPr>
      <w:r w:rsidRPr="00BA4835">
        <w:rPr>
          <w:rFonts w:ascii="Arial" w:hAnsi="Arial" w:cs="Arial"/>
        </w:rPr>
        <w:t>The IPS service provider is the Data Controller. This means that they set the means and purposes of the data collection – in other words, why and how data is collected. The d</w:t>
      </w:r>
      <w:r w:rsidRPr="00BA4835">
        <w:rPr>
          <w:rFonts w:ascii="Arial" w:hAnsi="Arial" w:cs="Arial"/>
        </w:rPr>
        <w:t>ata controller is responsible for getting client consent to gather, store and share data.</w:t>
      </w:r>
    </w:p>
    <w:p w14:paraId="62703FFE" w14:textId="77777777" w:rsidR="00CA2041" w:rsidRPr="00BA4835" w:rsidRDefault="006705E5">
      <w:pPr>
        <w:pStyle w:val="BodyText"/>
        <w:spacing w:before="160" w:line="259" w:lineRule="auto"/>
        <w:rPr>
          <w:rFonts w:ascii="Arial" w:hAnsi="Arial" w:cs="Arial"/>
        </w:rPr>
      </w:pPr>
      <w:r w:rsidRPr="00BA4835">
        <w:rPr>
          <w:rFonts w:ascii="Arial" w:hAnsi="Arial" w:cs="Arial"/>
        </w:rPr>
        <w:t>Social Finance (who employ IPS Grow staff) and the Centre for Mental Health (whose staff sign consultancy contracts and adhere to our terms and conditions) are Data P</w:t>
      </w:r>
      <w:r w:rsidRPr="00BA4835">
        <w:rPr>
          <w:rFonts w:ascii="Arial" w:hAnsi="Arial" w:cs="Arial"/>
        </w:rPr>
        <w:t>rocessors. This means that we are carrying out tasks on the data on behalf of the controller. In this case, we are using the personal data to carry out a fidelity review to assess the quality of the service provided and make recommendations for improvement</w:t>
      </w:r>
      <w:r w:rsidRPr="00BA4835">
        <w:rPr>
          <w:rFonts w:ascii="Arial" w:hAnsi="Arial" w:cs="Arial"/>
        </w:rPr>
        <w:t>s.</w:t>
      </w:r>
    </w:p>
    <w:p w14:paraId="3854D328" w14:textId="77777777" w:rsidR="00CA2041" w:rsidRPr="00BA4835" w:rsidRDefault="00CA2041">
      <w:pPr>
        <w:pStyle w:val="BodyText"/>
        <w:spacing w:before="11"/>
        <w:ind w:left="0"/>
        <w:rPr>
          <w:rFonts w:ascii="Arial" w:hAnsi="Arial" w:cs="Arial"/>
        </w:rPr>
      </w:pPr>
    </w:p>
    <w:p w14:paraId="293564EC" w14:textId="77777777" w:rsidR="00CA2041" w:rsidRPr="00BA4835" w:rsidRDefault="006705E5">
      <w:pPr>
        <w:pStyle w:val="Heading1"/>
        <w:rPr>
          <w:rFonts w:ascii="Arial" w:hAnsi="Arial" w:cs="Arial"/>
          <w:color w:val="000000" w:themeColor="text1"/>
        </w:rPr>
      </w:pPr>
      <w:r w:rsidRPr="00BA4835">
        <w:rPr>
          <w:rFonts w:ascii="Arial" w:hAnsi="Arial" w:cs="Arial"/>
          <w:color w:val="000000" w:themeColor="text1"/>
        </w:rPr>
        <w:t>What does our service need to do to share data with you?</w:t>
      </w:r>
    </w:p>
    <w:p w14:paraId="006D7ED7" w14:textId="77777777" w:rsidR="00CA2041" w:rsidRPr="00BA4835" w:rsidRDefault="006705E5">
      <w:pPr>
        <w:pStyle w:val="BodyText"/>
        <w:spacing w:before="180" w:line="259" w:lineRule="auto"/>
        <w:ind w:right="232"/>
        <w:jc w:val="both"/>
        <w:rPr>
          <w:rFonts w:ascii="Arial" w:hAnsi="Arial" w:cs="Arial"/>
        </w:rPr>
      </w:pPr>
      <w:r w:rsidRPr="00BA4835">
        <w:rPr>
          <w:rFonts w:ascii="Arial" w:hAnsi="Arial" w:cs="Arial"/>
        </w:rPr>
        <w:t>To support the safe sharing of personal data, we will sign a Data Sharing Agreement (DSA) with you. This helps all the parties be clear about their roles with regards to the data, sets out the p</w:t>
      </w:r>
      <w:r w:rsidRPr="00BA4835">
        <w:rPr>
          <w:rFonts w:ascii="Arial" w:hAnsi="Arial" w:cs="Arial"/>
        </w:rPr>
        <w:t>urpose of the data sharing, covers what happens to the data at each stage and sets standards.</w:t>
      </w:r>
    </w:p>
    <w:p w14:paraId="03A7AE10" w14:textId="77777777" w:rsidR="00CA2041" w:rsidRPr="00BA4835" w:rsidRDefault="006705E5">
      <w:pPr>
        <w:pStyle w:val="BodyText"/>
        <w:spacing w:before="160" w:line="259" w:lineRule="auto"/>
        <w:ind w:right="369"/>
        <w:jc w:val="both"/>
        <w:rPr>
          <w:rFonts w:ascii="Arial" w:hAnsi="Arial" w:cs="Arial"/>
        </w:rPr>
      </w:pPr>
      <w:r w:rsidRPr="00BA4835">
        <w:rPr>
          <w:rFonts w:ascii="Arial" w:hAnsi="Arial" w:cs="Arial"/>
        </w:rPr>
        <w:t>Your organisation will likely have a standard data sharing agreement. It can be updated to include the information outlined in this document around:</w:t>
      </w:r>
    </w:p>
    <w:p w14:paraId="52CD58E1" w14:textId="229F58C7" w:rsidR="00CA2041" w:rsidRPr="00BA4835" w:rsidRDefault="00BA4835">
      <w:pPr>
        <w:pStyle w:val="ListParagraph"/>
        <w:numPr>
          <w:ilvl w:val="0"/>
          <w:numId w:val="1"/>
        </w:numPr>
        <w:tabs>
          <w:tab w:val="left" w:pos="820"/>
          <w:tab w:val="left" w:pos="821"/>
        </w:tabs>
        <w:spacing w:before="160"/>
        <w:ind w:hanging="361"/>
        <w:rPr>
          <w:rFonts w:ascii="Arial" w:hAnsi="Arial" w:cs="Arial"/>
        </w:rPr>
      </w:pPr>
      <w:r>
        <w:rPr>
          <w:rFonts w:ascii="Arial" w:hAnsi="Arial" w:cs="Arial"/>
        </w:rPr>
        <w:t>T</w:t>
      </w:r>
      <w:r w:rsidR="006705E5" w:rsidRPr="00BA4835">
        <w:rPr>
          <w:rFonts w:ascii="Arial" w:hAnsi="Arial" w:cs="Arial"/>
        </w:rPr>
        <w:t>he types of data that will be</w:t>
      </w:r>
      <w:r w:rsidR="006705E5" w:rsidRPr="00BA4835">
        <w:rPr>
          <w:rFonts w:ascii="Arial" w:hAnsi="Arial" w:cs="Arial"/>
          <w:spacing w:val="-8"/>
        </w:rPr>
        <w:t xml:space="preserve"> </w:t>
      </w:r>
      <w:r w:rsidR="006705E5" w:rsidRPr="00BA4835">
        <w:rPr>
          <w:rFonts w:ascii="Arial" w:hAnsi="Arial" w:cs="Arial"/>
        </w:rPr>
        <w:t>shared</w:t>
      </w:r>
      <w:r w:rsidR="00011493">
        <w:rPr>
          <w:rFonts w:ascii="Arial" w:hAnsi="Arial" w:cs="Arial"/>
        </w:rPr>
        <w:t>.</w:t>
      </w:r>
    </w:p>
    <w:p w14:paraId="2AD79680" w14:textId="561D838A" w:rsidR="00CA2041" w:rsidRPr="00BA4835" w:rsidRDefault="00BA4835">
      <w:pPr>
        <w:pStyle w:val="ListParagraph"/>
        <w:numPr>
          <w:ilvl w:val="0"/>
          <w:numId w:val="1"/>
        </w:numPr>
        <w:tabs>
          <w:tab w:val="left" w:pos="820"/>
          <w:tab w:val="left" w:pos="821"/>
        </w:tabs>
        <w:ind w:hanging="361"/>
        <w:rPr>
          <w:rFonts w:ascii="Arial" w:hAnsi="Arial" w:cs="Arial"/>
        </w:rPr>
      </w:pPr>
      <w:r>
        <w:rPr>
          <w:rFonts w:ascii="Arial" w:hAnsi="Arial" w:cs="Arial"/>
        </w:rPr>
        <w:t>O</w:t>
      </w:r>
      <w:r w:rsidR="006705E5" w:rsidRPr="00BA4835">
        <w:rPr>
          <w:rFonts w:ascii="Arial" w:hAnsi="Arial" w:cs="Arial"/>
        </w:rPr>
        <w:t>ur roles and</w:t>
      </w:r>
      <w:r w:rsidR="006705E5" w:rsidRPr="00BA4835">
        <w:rPr>
          <w:rFonts w:ascii="Arial" w:hAnsi="Arial" w:cs="Arial"/>
          <w:spacing w:val="-2"/>
        </w:rPr>
        <w:t xml:space="preserve"> </w:t>
      </w:r>
      <w:r w:rsidR="006705E5" w:rsidRPr="00BA4835">
        <w:rPr>
          <w:rFonts w:ascii="Arial" w:hAnsi="Arial" w:cs="Arial"/>
        </w:rPr>
        <w:t>responsibilities</w:t>
      </w:r>
      <w:r w:rsidR="00011493">
        <w:rPr>
          <w:rFonts w:ascii="Arial" w:hAnsi="Arial" w:cs="Arial"/>
        </w:rPr>
        <w:t>.</w:t>
      </w:r>
    </w:p>
    <w:p w14:paraId="2BB57029" w14:textId="454C1648" w:rsidR="00CA2041" w:rsidRPr="00BA4835" w:rsidRDefault="00BA4835">
      <w:pPr>
        <w:pStyle w:val="ListParagraph"/>
        <w:numPr>
          <w:ilvl w:val="0"/>
          <w:numId w:val="1"/>
        </w:numPr>
        <w:tabs>
          <w:tab w:val="left" w:pos="820"/>
          <w:tab w:val="left" w:pos="821"/>
        </w:tabs>
        <w:ind w:hanging="361"/>
        <w:rPr>
          <w:rFonts w:ascii="Arial" w:hAnsi="Arial" w:cs="Arial"/>
        </w:rPr>
      </w:pPr>
      <w:r>
        <w:rPr>
          <w:rFonts w:ascii="Arial" w:hAnsi="Arial" w:cs="Arial"/>
        </w:rPr>
        <w:t>H</w:t>
      </w:r>
      <w:r w:rsidR="006705E5" w:rsidRPr="00BA4835">
        <w:rPr>
          <w:rFonts w:ascii="Arial" w:hAnsi="Arial" w:cs="Arial"/>
        </w:rPr>
        <w:t>ow we will share</w:t>
      </w:r>
      <w:r w:rsidR="006705E5" w:rsidRPr="00BA4835">
        <w:rPr>
          <w:rFonts w:ascii="Arial" w:hAnsi="Arial" w:cs="Arial"/>
          <w:spacing w:val="-7"/>
        </w:rPr>
        <w:t xml:space="preserve"> </w:t>
      </w:r>
      <w:r w:rsidR="006705E5" w:rsidRPr="00BA4835">
        <w:rPr>
          <w:rFonts w:ascii="Arial" w:hAnsi="Arial" w:cs="Arial"/>
        </w:rPr>
        <w:t>data</w:t>
      </w:r>
      <w:r w:rsidR="00011493">
        <w:rPr>
          <w:rFonts w:ascii="Arial" w:hAnsi="Arial" w:cs="Arial"/>
        </w:rPr>
        <w:t>.</w:t>
      </w:r>
    </w:p>
    <w:p w14:paraId="6A9CAF8E" w14:textId="12FF9722" w:rsidR="00CA2041" w:rsidRPr="00BA4835" w:rsidRDefault="00BA4835">
      <w:pPr>
        <w:pStyle w:val="ListParagraph"/>
        <w:numPr>
          <w:ilvl w:val="0"/>
          <w:numId w:val="1"/>
        </w:numPr>
        <w:tabs>
          <w:tab w:val="left" w:pos="820"/>
          <w:tab w:val="left" w:pos="821"/>
        </w:tabs>
        <w:spacing w:before="20"/>
        <w:ind w:hanging="361"/>
        <w:rPr>
          <w:rFonts w:ascii="Arial" w:hAnsi="Arial" w:cs="Arial"/>
        </w:rPr>
      </w:pPr>
      <w:r>
        <w:rPr>
          <w:rFonts w:ascii="Arial" w:hAnsi="Arial" w:cs="Arial"/>
        </w:rPr>
        <w:t>H</w:t>
      </w:r>
      <w:r w:rsidR="006705E5" w:rsidRPr="00BA4835">
        <w:rPr>
          <w:rFonts w:ascii="Arial" w:hAnsi="Arial" w:cs="Arial"/>
        </w:rPr>
        <w:t>ow we will store</w:t>
      </w:r>
      <w:r w:rsidR="006705E5" w:rsidRPr="00BA4835">
        <w:rPr>
          <w:rFonts w:ascii="Arial" w:hAnsi="Arial" w:cs="Arial"/>
          <w:spacing w:val="-4"/>
        </w:rPr>
        <w:t xml:space="preserve"> </w:t>
      </w:r>
      <w:r w:rsidR="006705E5" w:rsidRPr="00BA4835">
        <w:rPr>
          <w:rFonts w:ascii="Arial" w:hAnsi="Arial" w:cs="Arial"/>
        </w:rPr>
        <w:t>data</w:t>
      </w:r>
      <w:r w:rsidR="00011493">
        <w:rPr>
          <w:rFonts w:ascii="Arial" w:hAnsi="Arial" w:cs="Arial"/>
        </w:rPr>
        <w:t>.</w:t>
      </w:r>
    </w:p>
    <w:p w14:paraId="7F251747" w14:textId="7787A51B" w:rsidR="00CA2041" w:rsidRPr="00011493" w:rsidRDefault="00BA4835" w:rsidP="00011493">
      <w:pPr>
        <w:pStyle w:val="ListParagraph"/>
        <w:numPr>
          <w:ilvl w:val="0"/>
          <w:numId w:val="1"/>
        </w:numPr>
        <w:tabs>
          <w:tab w:val="left" w:pos="820"/>
          <w:tab w:val="left" w:pos="821"/>
        </w:tabs>
        <w:ind w:hanging="361"/>
        <w:rPr>
          <w:rFonts w:ascii="Arial" w:hAnsi="Arial" w:cs="Arial"/>
        </w:rPr>
        <w:sectPr w:rsidR="00CA2041" w:rsidRPr="00011493">
          <w:pgSz w:w="11910" w:h="16840"/>
          <w:pgMar w:top="1440" w:right="1320" w:bottom="280" w:left="1340" w:header="283" w:footer="0" w:gutter="0"/>
          <w:cols w:space="720"/>
        </w:sectPr>
      </w:pPr>
      <w:r>
        <w:rPr>
          <w:rFonts w:ascii="Arial" w:hAnsi="Arial" w:cs="Arial"/>
        </w:rPr>
        <w:t>H</w:t>
      </w:r>
      <w:r w:rsidR="006705E5" w:rsidRPr="00BA4835">
        <w:rPr>
          <w:rFonts w:ascii="Arial" w:hAnsi="Arial" w:cs="Arial"/>
        </w:rPr>
        <w:t>ow it will be</w:t>
      </w:r>
      <w:r w:rsidR="006705E5" w:rsidRPr="00BA4835">
        <w:rPr>
          <w:rFonts w:ascii="Arial" w:hAnsi="Arial" w:cs="Arial"/>
          <w:spacing w:val="-2"/>
        </w:rPr>
        <w:t xml:space="preserve"> </w:t>
      </w:r>
      <w:r w:rsidR="006705E5" w:rsidRPr="00BA4835">
        <w:rPr>
          <w:rFonts w:ascii="Arial" w:hAnsi="Arial" w:cs="Arial"/>
        </w:rPr>
        <w:t>deleted</w:t>
      </w:r>
      <w:r w:rsidR="00011493">
        <w:rPr>
          <w:rFonts w:ascii="Arial" w:hAnsi="Arial" w:cs="Arial"/>
        </w:rPr>
        <w:t>.</w:t>
      </w:r>
    </w:p>
    <w:p w14:paraId="2AEA68DD" w14:textId="77777777" w:rsidR="00BA4835" w:rsidRDefault="00BA4835" w:rsidP="00BA4835">
      <w:pPr>
        <w:pStyle w:val="BodyText"/>
        <w:spacing w:line="252" w:lineRule="exact"/>
        <w:rPr>
          <w:rFonts w:ascii="Arial" w:hAnsi="Arial" w:cs="Arial"/>
        </w:rPr>
      </w:pPr>
    </w:p>
    <w:p w14:paraId="52F5DB51" w14:textId="57CB3CDA" w:rsidR="00CA2041" w:rsidRPr="00BA4835" w:rsidRDefault="006705E5" w:rsidP="00BA4835">
      <w:pPr>
        <w:pStyle w:val="BodyText"/>
        <w:spacing w:line="252" w:lineRule="exact"/>
        <w:rPr>
          <w:rFonts w:ascii="Arial" w:hAnsi="Arial" w:cs="Arial"/>
        </w:rPr>
      </w:pPr>
      <w:r w:rsidRPr="00BA4835">
        <w:rPr>
          <w:rFonts w:ascii="Arial" w:hAnsi="Arial" w:cs="Arial"/>
        </w:rPr>
        <w:t>We have also attached an example DSA in Annex C, which outlines the purposes of this data sharing</w:t>
      </w:r>
      <w:r w:rsidR="00BA4835">
        <w:rPr>
          <w:rFonts w:ascii="Arial" w:hAnsi="Arial" w:cs="Arial"/>
        </w:rPr>
        <w:t xml:space="preserve"> </w:t>
      </w:r>
      <w:r w:rsidRPr="00BA4835">
        <w:rPr>
          <w:rFonts w:ascii="Arial" w:hAnsi="Arial" w:cs="Arial"/>
        </w:rPr>
        <w:t xml:space="preserve">and </w:t>
      </w:r>
      <w:r w:rsidRPr="00BA4835">
        <w:rPr>
          <w:rFonts w:ascii="Arial" w:hAnsi="Arial" w:cs="Arial"/>
        </w:rPr>
        <w:t>can be used if preferred.</w:t>
      </w:r>
    </w:p>
    <w:p w14:paraId="3CEB88E5" w14:textId="77777777" w:rsidR="00CA2041" w:rsidRPr="00BA4835" w:rsidRDefault="006705E5">
      <w:pPr>
        <w:pStyle w:val="BodyText"/>
        <w:spacing w:before="180" w:line="259" w:lineRule="auto"/>
        <w:ind w:right="513"/>
        <w:rPr>
          <w:rFonts w:ascii="Arial" w:hAnsi="Arial" w:cs="Arial"/>
        </w:rPr>
      </w:pPr>
      <w:r w:rsidRPr="00BA4835">
        <w:rPr>
          <w:rFonts w:ascii="Arial" w:hAnsi="Arial" w:cs="Arial"/>
        </w:rPr>
        <w:t>We will review and sign a DSA once it has been received. The data sharing agreement should list Social Finance as data processor</w:t>
      </w:r>
      <w:r w:rsidRPr="00BA4835">
        <w:rPr>
          <w:rFonts w:ascii="Arial" w:hAnsi="Arial" w:cs="Arial"/>
          <w:vertAlign w:val="superscript"/>
        </w:rPr>
        <w:t>3</w:t>
      </w:r>
      <w:r w:rsidRPr="00BA4835">
        <w:rPr>
          <w:rFonts w:ascii="Arial" w:hAnsi="Arial" w:cs="Arial"/>
        </w:rPr>
        <w:t>.</w:t>
      </w:r>
    </w:p>
    <w:p w14:paraId="29AF4530" w14:textId="77777777" w:rsidR="00CA2041" w:rsidRPr="00BA4835" w:rsidRDefault="00CA2041">
      <w:pPr>
        <w:pStyle w:val="BodyText"/>
        <w:ind w:left="0"/>
        <w:rPr>
          <w:rFonts w:ascii="Arial" w:hAnsi="Arial" w:cs="Arial"/>
        </w:rPr>
      </w:pPr>
    </w:p>
    <w:p w14:paraId="43FDFFCE" w14:textId="77777777" w:rsidR="00CA2041" w:rsidRPr="00BA4835" w:rsidRDefault="006705E5">
      <w:pPr>
        <w:pStyle w:val="Heading1"/>
        <w:rPr>
          <w:rFonts w:ascii="Arial" w:hAnsi="Arial" w:cs="Arial"/>
          <w:color w:val="000000" w:themeColor="text1"/>
        </w:rPr>
      </w:pPr>
      <w:r w:rsidRPr="00BA4835">
        <w:rPr>
          <w:rFonts w:ascii="Arial" w:hAnsi="Arial" w:cs="Arial"/>
          <w:color w:val="000000" w:themeColor="text1"/>
        </w:rPr>
        <w:t>Will our service need to complete a DPIA (Data Protection Impact Assessment)?</w:t>
      </w:r>
    </w:p>
    <w:p w14:paraId="024B529D" w14:textId="271CEDF1" w:rsidR="00CA2041" w:rsidRPr="00BA4835" w:rsidRDefault="006705E5">
      <w:pPr>
        <w:pStyle w:val="BodyText"/>
        <w:spacing w:before="180" w:line="259" w:lineRule="auto"/>
        <w:ind w:right="241"/>
        <w:rPr>
          <w:rFonts w:ascii="Arial" w:hAnsi="Arial" w:cs="Arial"/>
        </w:rPr>
      </w:pPr>
      <w:r w:rsidRPr="00BA4835">
        <w:rPr>
          <w:rFonts w:ascii="Arial" w:hAnsi="Arial" w:cs="Arial"/>
        </w:rPr>
        <w:t xml:space="preserve">A </w:t>
      </w:r>
      <w:hyperlink r:id="rId10">
        <w:r w:rsidRPr="00BA4835">
          <w:rPr>
            <w:rFonts w:ascii="Arial" w:hAnsi="Arial" w:cs="Arial"/>
            <w:color w:val="0462C1"/>
            <w:u w:val="single" w:color="0462C1"/>
          </w:rPr>
          <w:t>Data Protection Impa</w:t>
        </w:r>
        <w:r w:rsidRPr="00BA4835">
          <w:rPr>
            <w:rFonts w:ascii="Arial" w:hAnsi="Arial" w:cs="Arial"/>
            <w:color w:val="0462C1"/>
            <w:u w:val="single" w:color="0462C1"/>
          </w:rPr>
          <w:t>ct Assessment (DPIA)</w:t>
        </w:r>
        <w:r w:rsidRPr="00BA4835">
          <w:rPr>
            <w:rFonts w:ascii="Arial" w:hAnsi="Arial" w:cs="Arial"/>
            <w:color w:val="0462C1"/>
          </w:rPr>
          <w:t xml:space="preserve"> </w:t>
        </w:r>
      </w:hyperlink>
      <w:r w:rsidRPr="00BA4835">
        <w:rPr>
          <w:rFonts w:ascii="Arial" w:hAnsi="Arial" w:cs="Arial"/>
        </w:rPr>
        <w:t xml:space="preserve">is a process to help you identify and minimise the data protection risks of a project. A DPIA </w:t>
      </w:r>
      <w:r w:rsidR="00011493" w:rsidRPr="00BA4835">
        <w:rPr>
          <w:rFonts w:ascii="Arial" w:hAnsi="Arial" w:cs="Arial"/>
        </w:rPr>
        <w:t>must</w:t>
      </w:r>
      <w:r w:rsidRPr="00BA4835">
        <w:rPr>
          <w:rFonts w:ascii="Arial" w:hAnsi="Arial" w:cs="Arial"/>
        </w:rPr>
        <w:t xml:space="preserve"> be undertaken for processing that is likely to result in high risk to individuals. The kind</w:t>
      </w:r>
      <w:r w:rsidRPr="00BA4835">
        <w:rPr>
          <w:rFonts w:ascii="Arial" w:hAnsi="Arial" w:cs="Arial"/>
        </w:rPr>
        <w:t xml:space="preserve"> of activity that may require a DPIA include:</w:t>
      </w:r>
    </w:p>
    <w:p w14:paraId="1EACFD2C" w14:textId="6615F792" w:rsidR="00CA2041" w:rsidRPr="00BA4835" w:rsidRDefault="00011493">
      <w:pPr>
        <w:pStyle w:val="ListParagraph"/>
        <w:numPr>
          <w:ilvl w:val="0"/>
          <w:numId w:val="1"/>
        </w:numPr>
        <w:tabs>
          <w:tab w:val="left" w:pos="820"/>
          <w:tab w:val="left" w:pos="821"/>
        </w:tabs>
        <w:spacing w:before="160"/>
        <w:ind w:hanging="361"/>
        <w:rPr>
          <w:rFonts w:ascii="Arial" w:hAnsi="Arial" w:cs="Arial"/>
        </w:rPr>
      </w:pPr>
      <w:r>
        <w:rPr>
          <w:rFonts w:ascii="Arial" w:hAnsi="Arial" w:cs="Arial"/>
        </w:rPr>
        <w:t>U</w:t>
      </w:r>
      <w:r w:rsidR="006705E5" w:rsidRPr="00BA4835">
        <w:rPr>
          <w:rFonts w:ascii="Arial" w:hAnsi="Arial" w:cs="Arial"/>
        </w:rPr>
        <w:t>sing innovative</w:t>
      </w:r>
      <w:r w:rsidR="006705E5" w:rsidRPr="00BA4835">
        <w:rPr>
          <w:rFonts w:ascii="Arial" w:hAnsi="Arial" w:cs="Arial"/>
          <w:spacing w:val="-4"/>
        </w:rPr>
        <w:t xml:space="preserve"> </w:t>
      </w:r>
      <w:r w:rsidR="00BA4835" w:rsidRPr="00BA4835">
        <w:rPr>
          <w:rFonts w:ascii="Arial" w:hAnsi="Arial" w:cs="Arial"/>
        </w:rPr>
        <w:t>technology.</w:t>
      </w:r>
    </w:p>
    <w:p w14:paraId="6D7933EF" w14:textId="46ABA2C8" w:rsidR="00CA2041" w:rsidRPr="00BA4835" w:rsidRDefault="00011493">
      <w:pPr>
        <w:pStyle w:val="ListParagraph"/>
        <w:numPr>
          <w:ilvl w:val="0"/>
          <w:numId w:val="1"/>
        </w:numPr>
        <w:tabs>
          <w:tab w:val="left" w:pos="820"/>
          <w:tab w:val="left" w:pos="821"/>
        </w:tabs>
        <w:spacing w:before="23"/>
        <w:ind w:hanging="361"/>
        <w:rPr>
          <w:rFonts w:ascii="Arial" w:hAnsi="Arial" w:cs="Arial"/>
        </w:rPr>
      </w:pPr>
      <w:r>
        <w:rPr>
          <w:rFonts w:ascii="Arial" w:hAnsi="Arial" w:cs="Arial"/>
        </w:rPr>
        <w:t>U</w:t>
      </w:r>
      <w:r w:rsidR="006705E5" w:rsidRPr="00BA4835">
        <w:rPr>
          <w:rFonts w:ascii="Arial" w:hAnsi="Arial" w:cs="Arial"/>
        </w:rPr>
        <w:t>sing profiling or special category data to decide on access to</w:t>
      </w:r>
      <w:r w:rsidR="006705E5" w:rsidRPr="00BA4835">
        <w:rPr>
          <w:rFonts w:ascii="Arial" w:hAnsi="Arial" w:cs="Arial"/>
          <w:spacing w:val="-13"/>
        </w:rPr>
        <w:t xml:space="preserve"> </w:t>
      </w:r>
      <w:r w:rsidR="00BA4835" w:rsidRPr="00BA4835">
        <w:rPr>
          <w:rFonts w:ascii="Arial" w:hAnsi="Arial" w:cs="Arial"/>
        </w:rPr>
        <w:t>services.</w:t>
      </w:r>
    </w:p>
    <w:p w14:paraId="5DCA5C72" w14:textId="6436ACD4" w:rsidR="00CA2041" w:rsidRPr="00BA4835" w:rsidRDefault="00011493">
      <w:pPr>
        <w:pStyle w:val="ListParagraph"/>
        <w:numPr>
          <w:ilvl w:val="0"/>
          <w:numId w:val="1"/>
        </w:numPr>
        <w:tabs>
          <w:tab w:val="left" w:pos="820"/>
          <w:tab w:val="left" w:pos="821"/>
        </w:tabs>
        <w:spacing w:before="20"/>
        <w:ind w:hanging="361"/>
        <w:rPr>
          <w:rFonts w:ascii="Arial" w:hAnsi="Arial" w:cs="Arial"/>
        </w:rPr>
      </w:pPr>
      <w:r>
        <w:rPr>
          <w:rFonts w:ascii="Arial" w:hAnsi="Arial" w:cs="Arial"/>
        </w:rPr>
        <w:t>P</w:t>
      </w:r>
      <w:r w:rsidR="006705E5" w:rsidRPr="00BA4835">
        <w:rPr>
          <w:rFonts w:ascii="Arial" w:hAnsi="Arial" w:cs="Arial"/>
        </w:rPr>
        <w:t>rofiling individuals on a large</w:t>
      </w:r>
      <w:r w:rsidR="006705E5" w:rsidRPr="00BA4835">
        <w:rPr>
          <w:rFonts w:ascii="Arial" w:hAnsi="Arial" w:cs="Arial"/>
          <w:spacing w:val="-4"/>
        </w:rPr>
        <w:t xml:space="preserve"> </w:t>
      </w:r>
      <w:r w:rsidR="00BA4835" w:rsidRPr="00BA4835">
        <w:rPr>
          <w:rFonts w:ascii="Arial" w:hAnsi="Arial" w:cs="Arial"/>
        </w:rPr>
        <w:t>scale.</w:t>
      </w:r>
    </w:p>
    <w:p w14:paraId="37496EBC" w14:textId="7A610DFC" w:rsidR="00CA2041" w:rsidRPr="00BA4835" w:rsidRDefault="00011493">
      <w:pPr>
        <w:pStyle w:val="ListParagraph"/>
        <w:numPr>
          <w:ilvl w:val="0"/>
          <w:numId w:val="1"/>
        </w:numPr>
        <w:tabs>
          <w:tab w:val="left" w:pos="820"/>
          <w:tab w:val="left" w:pos="821"/>
        </w:tabs>
        <w:ind w:hanging="361"/>
        <w:rPr>
          <w:rFonts w:ascii="Arial" w:hAnsi="Arial" w:cs="Arial"/>
        </w:rPr>
      </w:pPr>
      <w:r>
        <w:rPr>
          <w:rFonts w:ascii="Arial" w:hAnsi="Arial" w:cs="Arial"/>
        </w:rPr>
        <w:t>P</w:t>
      </w:r>
      <w:r w:rsidR="006705E5" w:rsidRPr="00BA4835">
        <w:rPr>
          <w:rFonts w:ascii="Arial" w:hAnsi="Arial" w:cs="Arial"/>
        </w:rPr>
        <w:t>rocessing biometric data or genetic</w:t>
      </w:r>
      <w:r w:rsidR="006705E5" w:rsidRPr="00BA4835">
        <w:rPr>
          <w:rFonts w:ascii="Arial" w:hAnsi="Arial" w:cs="Arial"/>
          <w:spacing w:val="-4"/>
        </w:rPr>
        <w:t xml:space="preserve"> </w:t>
      </w:r>
      <w:r w:rsidR="00BA4835" w:rsidRPr="00BA4835">
        <w:rPr>
          <w:rFonts w:ascii="Arial" w:hAnsi="Arial" w:cs="Arial"/>
        </w:rPr>
        <w:t>data.</w:t>
      </w:r>
    </w:p>
    <w:p w14:paraId="1729FCAA" w14:textId="7530654E" w:rsidR="00CA2041" w:rsidRPr="00BA4835" w:rsidRDefault="00011493">
      <w:pPr>
        <w:pStyle w:val="ListParagraph"/>
        <w:numPr>
          <w:ilvl w:val="0"/>
          <w:numId w:val="1"/>
        </w:numPr>
        <w:tabs>
          <w:tab w:val="left" w:pos="820"/>
          <w:tab w:val="left" w:pos="821"/>
        </w:tabs>
        <w:ind w:hanging="361"/>
        <w:rPr>
          <w:rFonts w:ascii="Arial" w:hAnsi="Arial" w:cs="Arial"/>
        </w:rPr>
      </w:pPr>
      <w:r>
        <w:rPr>
          <w:rFonts w:ascii="Arial" w:hAnsi="Arial" w:cs="Arial"/>
        </w:rPr>
        <w:t>M</w:t>
      </w:r>
      <w:r w:rsidR="006705E5" w:rsidRPr="00BA4835">
        <w:rPr>
          <w:rFonts w:ascii="Arial" w:hAnsi="Arial" w:cs="Arial"/>
        </w:rPr>
        <w:t>atching data or combining datasets from different</w:t>
      </w:r>
      <w:r w:rsidR="006705E5" w:rsidRPr="00BA4835">
        <w:rPr>
          <w:rFonts w:ascii="Arial" w:hAnsi="Arial" w:cs="Arial"/>
          <w:spacing w:val="-14"/>
        </w:rPr>
        <w:t xml:space="preserve"> </w:t>
      </w:r>
      <w:r w:rsidR="00BA4835" w:rsidRPr="00BA4835">
        <w:rPr>
          <w:rFonts w:ascii="Arial" w:hAnsi="Arial" w:cs="Arial"/>
        </w:rPr>
        <w:t>sources.</w:t>
      </w:r>
    </w:p>
    <w:p w14:paraId="40CEBB7B" w14:textId="33EC9259" w:rsidR="00CA2041" w:rsidRPr="00BA4835" w:rsidRDefault="00011493">
      <w:pPr>
        <w:pStyle w:val="ListParagraph"/>
        <w:numPr>
          <w:ilvl w:val="0"/>
          <w:numId w:val="1"/>
        </w:numPr>
        <w:tabs>
          <w:tab w:val="left" w:pos="820"/>
          <w:tab w:val="left" w:pos="821"/>
        </w:tabs>
        <w:spacing w:before="20" w:line="259" w:lineRule="auto"/>
        <w:ind w:right="117"/>
        <w:rPr>
          <w:rFonts w:ascii="Arial" w:hAnsi="Arial" w:cs="Arial"/>
        </w:rPr>
      </w:pPr>
      <w:r>
        <w:rPr>
          <w:rFonts w:ascii="Arial" w:hAnsi="Arial" w:cs="Arial"/>
        </w:rPr>
        <w:t>C</w:t>
      </w:r>
      <w:r w:rsidR="006705E5" w:rsidRPr="00BA4835">
        <w:rPr>
          <w:rFonts w:ascii="Arial" w:hAnsi="Arial" w:cs="Arial"/>
        </w:rPr>
        <w:t>ollecting personal data from a source other than the individual without providing them with a privacy</w:t>
      </w:r>
      <w:r w:rsidR="006705E5" w:rsidRPr="00BA4835">
        <w:rPr>
          <w:rFonts w:ascii="Arial" w:hAnsi="Arial" w:cs="Arial"/>
          <w:spacing w:val="-1"/>
        </w:rPr>
        <w:t xml:space="preserve"> </w:t>
      </w:r>
      <w:r w:rsidR="00BA4835" w:rsidRPr="00BA4835">
        <w:rPr>
          <w:rFonts w:ascii="Arial" w:hAnsi="Arial" w:cs="Arial"/>
        </w:rPr>
        <w:t>notice.</w:t>
      </w:r>
    </w:p>
    <w:p w14:paraId="55FB4097" w14:textId="31425B87" w:rsidR="00CA2041" w:rsidRPr="00BA4835" w:rsidRDefault="00011493">
      <w:pPr>
        <w:pStyle w:val="ListParagraph"/>
        <w:numPr>
          <w:ilvl w:val="0"/>
          <w:numId w:val="1"/>
        </w:numPr>
        <w:tabs>
          <w:tab w:val="left" w:pos="820"/>
          <w:tab w:val="left" w:pos="821"/>
        </w:tabs>
        <w:spacing w:before="1"/>
        <w:ind w:hanging="361"/>
        <w:rPr>
          <w:rFonts w:ascii="Arial" w:hAnsi="Arial" w:cs="Arial"/>
        </w:rPr>
      </w:pPr>
      <w:r>
        <w:rPr>
          <w:rFonts w:ascii="Arial" w:hAnsi="Arial" w:cs="Arial"/>
        </w:rPr>
        <w:t>T</w:t>
      </w:r>
      <w:r w:rsidR="006705E5" w:rsidRPr="00BA4835">
        <w:rPr>
          <w:rFonts w:ascii="Arial" w:hAnsi="Arial" w:cs="Arial"/>
        </w:rPr>
        <w:t>racking individuals’ location or</w:t>
      </w:r>
      <w:r w:rsidR="006705E5" w:rsidRPr="00BA4835">
        <w:rPr>
          <w:rFonts w:ascii="Arial" w:hAnsi="Arial" w:cs="Arial"/>
          <w:spacing w:val="-4"/>
        </w:rPr>
        <w:t xml:space="preserve"> </w:t>
      </w:r>
      <w:r w:rsidR="00BA4835" w:rsidRPr="00BA4835">
        <w:rPr>
          <w:rFonts w:ascii="Arial" w:hAnsi="Arial" w:cs="Arial"/>
        </w:rPr>
        <w:t>behavior</w:t>
      </w:r>
      <w:r w:rsidR="00BA4835">
        <w:rPr>
          <w:rFonts w:ascii="Arial" w:hAnsi="Arial" w:cs="Arial"/>
        </w:rPr>
        <w:t>.</w:t>
      </w:r>
    </w:p>
    <w:p w14:paraId="22E9B1B5" w14:textId="6DC40EA9" w:rsidR="00CA2041" w:rsidRPr="00BA4835" w:rsidRDefault="00011493">
      <w:pPr>
        <w:pStyle w:val="ListParagraph"/>
        <w:numPr>
          <w:ilvl w:val="0"/>
          <w:numId w:val="1"/>
        </w:numPr>
        <w:tabs>
          <w:tab w:val="left" w:pos="820"/>
          <w:tab w:val="left" w:pos="821"/>
        </w:tabs>
        <w:spacing w:before="19"/>
        <w:ind w:hanging="361"/>
        <w:rPr>
          <w:rFonts w:ascii="Arial" w:hAnsi="Arial" w:cs="Arial"/>
        </w:rPr>
      </w:pPr>
      <w:r>
        <w:rPr>
          <w:rFonts w:ascii="Arial" w:hAnsi="Arial" w:cs="Arial"/>
        </w:rPr>
        <w:t>P</w:t>
      </w:r>
      <w:r w:rsidR="006705E5" w:rsidRPr="00BA4835">
        <w:rPr>
          <w:rFonts w:ascii="Arial" w:hAnsi="Arial" w:cs="Arial"/>
        </w:rPr>
        <w:t>rofiling children or targeting marketin</w:t>
      </w:r>
      <w:r w:rsidR="006705E5" w:rsidRPr="00BA4835">
        <w:rPr>
          <w:rFonts w:ascii="Arial" w:hAnsi="Arial" w:cs="Arial"/>
        </w:rPr>
        <w:t>g or online services at them;</w:t>
      </w:r>
      <w:r w:rsidR="006705E5" w:rsidRPr="00BA4835">
        <w:rPr>
          <w:rFonts w:ascii="Arial" w:hAnsi="Arial" w:cs="Arial"/>
          <w:spacing w:val="-17"/>
        </w:rPr>
        <w:t xml:space="preserve"> </w:t>
      </w:r>
      <w:r w:rsidR="006705E5" w:rsidRPr="00BA4835">
        <w:rPr>
          <w:rFonts w:ascii="Arial" w:hAnsi="Arial" w:cs="Arial"/>
        </w:rPr>
        <w:t>or</w:t>
      </w:r>
    </w:p>
    <w:p w14:paraId="7A531FDA" w14:textId="050362A6" w:rsidR="00CA2041" w:rsidRPr="00BA4835" w:rsidRDefault="00011493">
      <w:pPr>
        <w:pStyle w:val="ListParagraph"/>
        <w:numPr>
          <w:ilvl w:val="0"/>
          <w:numId w:val="1"/>
        </w:numPr>
        <w:tabs>
          <w:tab w:val="left" w:pos="820"/>
          <w:tab w:val="left" w:pos="821"/>
        </w:tabs>
        <w:spacing w:line="259" w:lineRule="auto"/>
        <w:ind w:right="149"/>
        <w:rPr>
          <w:rFonts w:ascii="Arial" w:hAnsi="Arial" w:cs="Arial"/>
        </w:rPr>
      </w:pPr>
      <w:r>
        <w:rPr>
          <w:rFonts w:ascii="Arial" w:hAnsi="Arial" w:cs="Arial"/>
        </w:rPr>
        <w:t>P</w:t>
      </w:r>
      <w:r w:rsidR="006705E5" w:rsidRPr="00BA4835">
        <w:rPr>
          <w:rFonts w:ascii="Arial" w:hAnsi="Arial" w:cs="Arial"/>
        </w:rPr>
        <w:t>rocessing data that might endanger the individual’s physical health or safety in the event of a security</w:t>
      </w:r>
      <w:r w:rsidR="006705E5" w:rsidRPr="00BA4835">
        <w:rPr>
          <w:rFonts w:ascii="Arial" w:hAnsi="Arial" w:cs="Arial"/>
          <w:spacing w:val="-1"/>
        </w:rPr>
        <w:t xml:space="preserve"> </w:t>
      </w:r>
      <w:r w:rsidR="006705E5" w:rsidRPr="00BA4835">
        <w:rPr>
          <w:rFonts w:ascii="Arial" w:hAnsi="Arial" w:cs="Arial"/>
        </w:rPr>
        <w:t>breach.</w:t>
      </w:r>
    </w:p>
    <w:p w14:paraId="61F9E9C0" w14:textId="77777777" w:rsidR="00CA2041" w:rsidRPr="00BA4835" w:rsidRDefault="006705E5">
      <w:pPr>
        <w:pStyle w:val="BodyText"/>
        <w:spacing w:before="160"/>
        <w:rPr>
          <w:rFonts w:ascii="Arial" w:hAnsi="Arial" w:cs="Arial"/>
        </w:rPr>
      </w:pPr>
      <w:r w:rsidRPr="00BA4835">
        <w:rPr>
          <w:rFonts w:ascii="Arial" w:hAnsi="Arial" w:cs="Arial"/>
        </w:rPr>
        <w:t>None of the above will apply to sharing data with us for a fidelity review. In addition:</w:t>
      </w:r>
    </w:p>
    <w:p w14:paraId="4B8958D2" w14:textId="59204B91" w:rsidR="00CA2041" w:rsidRPr="00BA4835" w:rsidRDefault="00011493">
      <w:pPr>
        <w:pStyle w:val="ListParagraph"/>
        <w:numPr>
          <w:ilvl w:val="0"/>
          <w:numId w:val="1"/>
        </w:numPr>
        <w:tabs>
          <w:tab w:val="left" w:pos="820"/>
          <w:tab w:val="left" w:pos="821"/>
        </w:tabs>
        <w:spacing w:before="180"/>
        <w:ind w:hanging="361"/>
        <w:rPr>
          <w:rFonts w:ascii="Arial" w:hAnsi="Arial" w:cs="Arial"/>
        </w:rPr>
      </w:pPr>
      <w:r>
        <w:rPr>
          <w:rFonts w:ascii="Arial" w:hAnsi="Arial" w:cs="Arial"/>
        </w:rPr>
        <w:t>D</w:t>
      </w:r>
      <w:r w:rsidR="006705E5" w:rsidRPr="00BA4835">
        <w:rPr>
          <w:rFonts w:ascii="Arial" w:hAnsi="Arial" w:cs="Arial"/>
        </w:rPr>
        <w:t xml:space="preserve">ata shared with us </w:t>
      </w:r>
      <w:r w:rsidR="006705E5" w:rsidRPr="00BA4835">
        <w:rPr>
          <w:rFonts w:ascii="Arial" w:hAnsi="Arial" w:cs="Arial"/>
        </w:rPr>
        <w:t>will be anonymised as far as possible, minimising any risk to</w:t>
      </w:r>
      <w:r w:rsidR="006705E5" w:rsidRPr="00BA4835">
        <w:rPr>
          <w:rFonts w:ascii="Arial" w:hAnsi="Arial" w:cs="Arial"/>
          <w:spacing w:val="-20"/>
        </w:rPr>
        <w:t xml:space="preserve"> </w:t>
      </w:r>
      <w:r w:rsidRPr="00BA4835">
        <w:rPr>
          <w:rFonts w:ascii="Arial" w:hAnsi="Arial" w:cs="Arial"/>
        </w:rPr>
        <w:t>individuals.</w:t>
      </w:r>
    </w:p>
    <w:p w14:paraId="6F21439B" w14:textId="617328D4" w:rsidR="00CA2041" w:rsidRPr="00BA4835" w:rsidRDefault="00011493">
      <w:pPr>
        <w:pStyle w:val="ListParagraph"/>
        <w:numPr>
          <w:ilvl w:val="0"/>
          <w:numId w:val="1"/>
        </w:numPr>
        <w:tabs>
          <w:tab w:val="left" w:pos="820"/>
          <w:tab w:val="left" w:pos="821"/>
        </w:tabs>
        <w:spacing w:before="23" w:line="259" w:lineRule="auto"/>
        <w:ind w:right="159"/>
        <w:rPr>
          <w:rFonts w:ascii="Arial" w:hAnsi="Arial" w:cs="Arial"/>
        </w:rPr>
      </w:pPr>
      <w:r>
        <w:rPr>
          <w:rFonts w:ascii="Arial" w:hAnsi="Arial" w:cs="Arial"/>
        </w:rPr>
        <w:t>D</w:t>
      </w:r>
      <w:r w:rsidR="006705E5" w:rsidRPr="00BA4835">
        <w:rPr>
          <w:rFonts w:ascii="Arial" w:hAnsi="Arial" w:cs="Arial"/>
        </w:rPr>
        <w:t>ata will be stored securely within Social Finance systems (please see below for more details of our data protection</w:t>
      </w:r>
      <w:r w:rsidR="006705E5" w:rsidRPr="00BA4835">
        <w:rPr>
          <w:rFonts w:ascii="Arial" w:hAnsi="Arial" w:cs="Arial"/>
          <w:spacing w:val="-4"/>
        </w:rPr>
        <w:t xml:space="preserve"> </w:t>
      </w:r>
      <w:r w:rsidR="006705E5" w:rsidRPr="00BA4835">
        <w:rPr>
          <w:rFonts w:ascii="Arial" w:hAnsi="Arial" w:cs="Arial"/>
        </w:rPr>
        <w:t>policies</w:t>
      </w:r>
      <w:r w:rsidRPr="00BA4835">
        <w:rPr>
          <w:rFonts w:ascii="Arial" w:hAnsi="Arial" w:cs="Arial"/>
        </w:rPr>
        <w:t>).</w:t>
      </w:r>
    </w:p>
    <w:p w14:paraId="6A2B90E9" w14:textId="7B11227C" w:rsidR="00CA2041" w:rsidRPr="00BA4835" w:rsidRDefault="00011493">
      <w:pPr>
        <w:pStyle w:val="ListParagraph"/>
        <w:numPr>
          <w:ilvl w:val="0"/>
          <w:numId w:val="1"/>
        </w:numPr>
        <w:tabs>
          <w:tab w:val="left" w:pos="820"/>
          <w:tab w:val="left" w:pos="821"/>
        </w:tabs>
        <w:spacing w:before="0" w:line="259" w:lineRule="auto"/>
        <w:ind w:right="499"/>
        <w:rPr>
          <w:rFonts w:ascii="Arial" w:hAnsi="Arial" w:cs="Arial"/>
        </w:rPr>
      </w:pPr>
      <w:r>
        <w:rPr>
          <w:rFonts w:ascii="Arial" w:hAnsi="Arial" w:cs="Arial"/>
        </w:rPr>
        <w:t>C</w:t>
      </w:r>
      <w:r w:rsidR="006705E5" w:rsidRPr="00BA4835">
        <w:rPr>
          <w:rFonts w:ascii="Arial" w:hAnsi="Arial" w:cs="Arial"/>
        </w:rPr>
        <w:t xml:space="preserve">lient consent will have been received to share data </w:t>
      </w:r>
      <w:r w:rsidR="006705E5" w:rsidRPr="00BA4835">
        <w:rPr>
          <w:rFonts w:ascii="Arial" w:hAnsi="Arial" w:cs="Arial"/>
        </w:rPr>
        <w:t xml:space="preserve">for service improvement and review </w:t>
      </w:r>
      <w:r w:rsidRPr="00BA4835">
        <w:rPr>
          <w:rFonts w:ascii="Arial" w:hAnsi="Arial" w:cs="Arial"/>
        </w:rPr>
        <w:t>purposes.</w:t>
      </w:r>
    </w:p>
    <w:p w14:paraId="24632160" w14:textId="77777777" w:rsidR="00CA2041" w:rsidRPr="00BA4835" w:rsidRDefault="006705E5">
      <w:pPr>
        <w:pStyle w:val="BodyText"/>
        <w:spacing w:before="160" w:line="259" w:lineRule="auto"/>
        <w:ind w:right="415"/>
        <w:rPr>
          <w:rFonts w:ascii="Arial" w:hAnsi="Arial" w:cs="Arial"/>
        </w:rPr>
      </w:pPr>
      <w:r w:rsidRPr="00BA4835">
        <w:rPr>
          <w:rFonts w:ascii="Arial" w:hAnsi="Arial" w:cs="Arial"/>
        </w:rPr>
        <w:t>We therefore do not think that sharing data with us for the purpose of a fidelity review requires a DPIA. However, the responsibility for determining whether a DPIA is needed rests with the Data Controller.</w:t>
      </w:r>
    </w:p>
    <w:p w14:paraId="5992536D" w14:textId="77777777" w:rsidR="00CA2041" w:rsidRPr="00BA4835" w:rsidRDefault="00CA2041">
      <w:pPr>
        <w:pStyle w:val="BodyText"/>
        <w:spacing w:before="10"/>
        <w:ind w:left="0"/>
        <w:rPr>
          <w:rFonts w:ascii="Arial" w:hAnsi="Arial" w:cs="Arial"/>
        </w:rPr>
      </w:pPr>
    </w:p>
    <w:p w14:paraId="5D9764E5" w14:textId="77777777" w:rsidR="00CA2041" w:rsidRPr="00011493" w:rsidRDefault="006705E5">
      <w:pPr>
        <w:pStyle w:val="Heading1"/>
        <w:rPr>
          <w:rFonts w:ascii="Arial" w:hAnsi="Arial" w:cs="Arial"/>
          <w:color w:val="000000" w:themeColor="text1"/>
        </w:rPr>
      </w:pPr>
      <w:r w:rsidRPr="00011493">
        <w:rPr>
          <w:rFonts w:ascii="Arial" w:hAnsi="Arial" w:cs="Arial"/>
          <w:color w:val="000000" w:themeColor="text1"/>
        </w:rPr>
        <w:t>How does our service ensure we have client consent to share data?</w:t>
      </w:r>
    </w:p>
    <w:p w14:paraId="14069F67" w14:textId="5B8F64DA" w:rsidR="00CA2041" w:rsidRPr="00BA4835" w:rsidRDefault="006705E5">
      <w:pPr>
        <w:pStyle w:val="BodyText"/>
        <w:spacing w:before="181" w:line="259" w:lineRule="auto"/>
        <w:ind w:right="195"/>
        <w:rPr>
          <w:rFonts w:ascii="Arial" w:hAnsi="Arial" w:cs="Arial"/>
        </w:rPr>
      </w:pPr>
      <w:r w:rsidRPr="00BA4835">
        <w:rPr>
          <w:rFonts w:ascii="Arial" w:hAnsi="Arial" w:cs="Arial"/>
        </w:rPr>
        <w:t>As the Data Controller, you will have shared a client consent form when you started working with your clients, which will provide their consent for you to gather, store and process their dat</w:t>
      </w:r>
      <w:r w:rsidRPr="00BA4835">
        <w:rPr>
          <w:rFonts w:ascii="Arial" w:hAnsi="Arial" w:cs="Arial"/>
        </w:rPr>
        <w:t xml:space="preserve">a </w:t>
      </w:r>
      <w:r w:rsidR="00011493" w:rsidRPr="00BA4835">
        <w:rPr>
          <w:rFonts w:ascii="Arial" w:hAnsi="Arial" w:cs="Arial"/>
        </w:rPr>
        <w:t>to</w:t>
      </w:r>
      <w:r w:rsidRPr="00BA4835">
        <w:rPr>
          <w:rFonts w:ascii="Arial" w:hAnsi="Arial" w:cs="Arial"/>
        </w:rPr>
        <w:t xml:space="preserve"> deliver the service. It will also include information about their rights with regards to the data, including the right to access, and have the data deleted.</w:t>
      </w:r>
    </w:p>
    <w:p w14:paraId="5D1DEFB5" w14:textId="77777777" w:rsidR="00CA2041" w:rsidRPr="00BA4835" w:rsidRDefault="00CA2041">
      <w:pPr>
        <w:pStyle w:val="BodyText"/>
        <w:ind w:left="0"/>
        <w:rPr>
          <w:rFonts w:ascii="Arial" w:hAnsi="Arial" w:cs="Arial"/>
        </w:rPr>
      </w:pPr>
    </w:p>
    <w:p w14:paraId="6081E2EB" w14:textId="77777777" w:rsidR="00CA2041" w:rsidRPr="00BA4835" w:rsidRDefault="00CA2041">
      <w:pPr>
        <w:pStyle w:val="BodyText"/>
        <w:ind w:left="0"/>
        <w:rPr>
          <w:rFonts w:ascii="Arial" w:hAnsi="Arial" w:cs="Arial"/>
        </w:rPr>
      </w:pPr>
    </w:p>
    <w:p w14:paraId="71EB4E59" w14:textId="77777777" w:rsidR="00CA2041" w:rsidRPr="00BA4835" w:rsidRDefault="00CA2041">
      <w:pPr>
        <w:pStyle w:val="BodyText"/>
        <w:ind w:left="0"/>
        <w:rPr>
          <w:rFonts w:ascii="Arial" w:hAnsi="Arial" w:cs="Arial"/>
        </w:rPr>
      </w:pPr>
    </w:p>
    <w:p w14:paraId="6B29ABA2" w14:textId="77777777" w:rsidR="00CA2041" w:rsidRPr="00BA4835" w:rsidRDefault="00CA2041">
      <w:pPr>
        <w:pStyle w:val="BodyText"/>
        <w:ind w:left="0"/>
        <w:rPr>
          <w:rFonts w:ascii="Arial" w:hAnsi="Arial" w:cs="Arial"/>
        </w:rPr>
      </w:pPr>
    </w:p>
    <w:p w14:paraId="38AA5712" w14:textId="1F3FDC65" w:rsidR="00CA2041" w:rsidRPr="00BA4835" w:rsidRDefault="00BC0CE9">
      <w:pPr>
        <w:pStyle w:val="BodyText"/>
        <w:spacing w:before="1"/>
        <w:ind w:left="0"/>
        <w:rPr>
          <w:rFonts w:ascii="Arial" w:hAnsi="Arial" w:cs="Arial"/>
        </w:rPr>
      </w:pPr>
      <w:r w:rsidRPr="00BA4835">
        <w:rPr>
          <w:rFonts w:ascii="Arial" w:hAnsi="Arial" w:cs="Arial"/>
          <w:noProof/>
        </w:rPr>
        <mc:AlternateContent>
          <mc:Choice Requires="wps">
            <w:drawing>
              <wp:anchor distT="0" distB="0" distL="0" distR="0" simplePos="0" relativeHeight="487588864" behindDoc="1" locked="0" layoutInCell="1" allowOverlap="1" wp14:anchorId="78672594" wp14:editId="5F3C16B4">
                <wp:simplePos x="0" y="0"/>
                <wp:positionH relativeFrom="page">
                  <wp:posOffset>914400</wp:posOffset>
                </wp:positionH>
                <wp:positionV relativeFrom="paragraph">
                  <wp:posOffset>211455</wp:posOffset>
                </wp:positionV>
                <wp:extent cx="1828800" cy="889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E189" id="Rectangle 2" o:spid="_x0000_s1026" style="position:absolute;margin-left:1in;margin-top:16.65pt;width:2in;height:.7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" fillcolor="black" stroked="f">
                <w10:wrap type="topAndBottom" anchorx="page"/>
              </v:rect>
            </w:pict>
          </mc:Fallback>
        </mc:AlternateContent>
      </w:r>
    </w:p>
    <w:p w14:paraId="79DB12B2" w14:textId="77777777" w:rsidR="00CA2041" w:rsidRPr="00BA4835" w:rsidRDefault="006705E5">
      <w:pPr>
        <w:spacing w:before="73"/>
        <w:ind w:left="100" w:right="513"/>
        <w:rPr>
          <w:rFonts w:ascii="Arial" w:hAnsi="Arial" w:cs="Arial"/>
        </w:rPr>
      </w:pPr>
      <w:r w:rsidRPr="00BA4835">
        <w:rPr>
          <w:rFonts w:ascii="Arial" w:hAnsi="Arial" w:cs="Arial"/>
          <w:vertAlign w:val="superscript"/>
        </w:rPr>
        <w:t>3</w:t>
      </w:r>
      <w:r w:rsidRPr="00BA4835">
        <w:rPr>
          <w:rFonts w:ascii="Arial" w:hAnsi="Arial" w:cs="Arial"/>
        </w:rPr>
        <w:t xml:space="preserve"> Centre for Mental Health do not need to be listed as a separate processor. Th</w:t>
      </w:r>
      <w:r w:rsidRPr="00BA4835">
        <w:rPr>
          <w:rFonts w:ascii="Arial" w:hAnsi="Arial" w:cs="Arial"/>
        </w:rPr>
        <w:t>eir staff sign consultancy contracts and adhere to our terms and conditions when delivering these reviews.</w:t>
      </w:r>
    </w:p>
    <w:p w14:paraId="6469299A" w14:textId="77777777" w:rsidR="00CA2041" w:rsidRPr="00BA4835" w:rsidRDefault="00CA2041">
      <w:pPr>
        <w:rPr>
          <w:rFonts w:ascii="Arial" w:hAnsi="Arial" w:cs="Arial"/>
        </w:rPr>
        <w:sectPr w:rsidR="00CA2041" w:rsidRPr="00BA4835">
          <w:pgSz w:w="11910" w:h="16840"/>
          <w:pgMar w:top="1440" w:right="1320" w:bottom="280" w:left="1340" w:header="283" w:footer="0" w:gutter="0"/>
          <w:cols w:space="720"/>
        </w:sectPr>
      </w:pPr>
    </w:p>
    <w:p w14:paraId="60EB1045" w14:textId="48BFCD11" w:rsidR="00CA2041" w:rsidRPr="00BA4835" w:rsidRDefault="006705E5" w:rsidP="00011493">
      <w:pPr>
        <w:pStyle w:val="BodyText"/>
        <w:spacing w:line="252" w:lineRule="exact"/>
        <w:rPr>
          <w:rFonts w:ascii="Arial" w:hAnsi="Arial" w:cs="Arial"/>
        </w:rPr>
      </w:pPr>
      <w:r w:rsidRPr="00BA4835">
        <w:rPr>
          <w:rFonts w:ascii="Arial" w:hAnsi="Arial" w:cs="Arial"/>
        </w:rPr>
        <w:lastRenderedPageBreak/>
        <w:t>This should also include details of how and why you may share data with Third Parties, including for</w:t>
      </w:r>
      <w:r w:rsidR="00011493">
        <w:rPr>
          <w:rFonts w:ascii="Arial" w:hAnsi="Arial" w:cs="Arial"/>
        </w:rPr>
        <w:t xml:space="preserve"> </w:t>
      </w:r>
      <w:r w:rsidRPr="00BA4835">
        <w:rPr>
          <w:rFonts w:ascii="Arial" w:hAnsi="Arial" w:cs="Arial"/>
        </w:rPr>
        <w:t>the purposes of monitoring and improving service performance. A template client consent form is attached in Annex</w:t>
      </w:r>
      <w:r w:rsidRPr="00BA4835">
        <w:rPr>
          <w:rFonts w:ascii="Arial" w:hAnsi="Arial" w:cs="Arial"/>
          <w:spacing w:val="-1"/>
        </w:rPr>
        <w:t xml:space="preserve"> </w:t>
      </w:r>
      <w:r w:rsidRPr="00BA4835">
        <w:rPr>
          <w:rFonts w:ascii="Arial" w:hAnsi="Arial" w:cs="Arial"/>
        </w:rPr>
        <w:t>B.</w:t>
      </w:r>
    </w:p>
    <w:p w14:paraId="34DC1DD4" w14:textId="77777777" w:rsidR="00CA2041" w:rsidRPr="00BA4835" w:rsidRDefault="006705E5">
      <w:pPr>
        <w:pStyle w:val="BodyText"/>
        <w:spacing w:before="159" w:line="259" w:lineRule="auto"/>
        <w:ind w:right="386"/>
        <w:rPr>
          <w:rFonts w:ascii="Arial" w:hAnsi="Arial" w:cs="Arial"/>
        </w:rPr>
      </w:pPr>
      <w:r w:rsidRPr="00BA4835">
        <w:rPr>
          <w:rFonts w:ascii="Arial" w:hAnsi="Arial" w:cs="Arial"/>
        </w:rPr>
        <w:t>As the Data Controller, you are responsible for ensuring you have client consent to share personal information with</w:t>
      </w:r>
      <w:r w:rsidRPr="00BA4835">
        <w:rPr>
          <w:rFonts w:ascii="Arial" w:hAnsi="Arial" w:cs="Arial"/>
          <w:spacing w:val="-4"/>
        </w:rPr>
        <w:t xml:space="preserve"> </w:t>
      </w:r>
      <w:r w:rsidRPr="00BA4835">
        <w:rPr>
          <w:rFonts w:ascii="Arial" w:hAnsi="Arial" w:cs="Arial"/>
        </w:rPr>
        <w:t>us.</w:t>
      </w:r>
    </w:p>
    <w:p w14:paraId="3E8034D4" w14:textId="77777777" w:rsidR="00CA2041" w:rsidRPr="00BA4835" w:rsidRDefault="00CA2041">
      <w:pPr>
        <w:pStyle w:val="BodyText"/>
        <w:ind w:left="0"/>
        <w:rPr>
          <w:rFonts w:ascii="Arial" w:hAnsi="Arial" w:cs="Arial"/>
        </w:rPr>
      </w:pPr>
    </w:p>
    <w:p w14:paraId="57776E79" w14:textId="77777777" w:rsidR="00CA2041" w:rsidRPr="00011493" w:rsidRDefault="006705E5">
      <w:pPr>
        <w:pStyle w:val="Heading1"/>
        <w:rPr>
          <w:rFonts w:ascii="Arial" w:hAnsi="Arial" w:cs="Arial"/>
          <w:color w:val="000000" w:themeColor="text1"/>
        </w:rPr>
      </w:pPr>
      <w:r w:rsidRPr="00011493">
        <w:rPr>
          <w:rFonts w:ascii="Arial" w:hAnsi="Arial" w:cs="Arial"/>
          <w:color w:val="000000" w:themeColor="text1"/>
        </w:rPr>
        <w:t>How can our servi</w:t>
      </w:r>
      <w:r w:rsidRPr="00011493">
        <w:rPr>
          <w:rFonts w:ascii="Arial" w:hAnsi="Arial" w:cs="Arial"/>
          <w:color w:val="000000" w:themeColor="text1"/>
        </w:rPr>
        <w:t>ce share data with you?</w:t>
      </w:r>
    </w:p>
    <w:p w14:paraId="1BD60069" w14:textId="77777777" w:rsidR="00CA2041" w:rsidRPr="00BA4835" w:rsidRDefault="006705E5">
      <w:pPr>
        <w:pStyle w:val="BodyText"/>
        <w:spacing w:before="180" w:line="259" w:lineRule="auto"/>
        <w:ind w:right="119"/>
        <w:jc w:val="both"/>
        <w:rPr>
          <w:rFonts w:ascii="Arial" w:hAnsi="Arial" w:cs="Arial"/>
        </w:rPr>
      </w:pPr>
      <w:r w:rsidRPr="00BA4835">
        <w:rPr>
          <w:rFonts w:ascii="Arial" w:hAnsi="Arial" w:cs="Arial"/>
        </w:rPr>
        <w:t>Our preferred method for data transfer is through a secure Office365 environment. This method has been tested on prior fidelity reviews. We outline in Annex A how you can share data through Office 365 with us.</w:t>
      </w:r>
    </w:p>
    <w:p w14:paraId="7BDA778F" w14:textId="012AEC6E" w:rsidR="00CA2041" w:rsidRPr="00BA4835" w:rsidRDefault="006705E5">
      <w:pPr>
        <w:pStyle w:val="BodyText"/>
        <w:spacing w:before="160" w:line="259" w:lineRule="auto"/>
        <w:ind w:right="146"/>
        <w:rPr>
          <w:rFonts w:ascii="Arial" w:hAnsi="Arial" w:cs="Arial"/>
        </w:rPr>
      </w:pPr>
      <w:r w:rsidRPr="00BA4835">
        <w:rPr>
          <w:rFonts w:ascii="Arial" w:hAnsi="Arial" w:cs="Arial"/>
        </w:rPr>
        <w:t xml:space="preserve">If required, we can use alternative methods for data sharing, including through secure email (such as Egress). </w:t>
      </w:r>
      <w:r w:rsidRPr="00BA4835">
        <w:rPr>
          <w:rFonts w:ascii="Arial" w:hAnsi="Arial" w:cs="Arial"/>
        </w:rPr>
        <w:t>We need access to the files throughout the course of the review, therefore remote access to files via a screen share method will not be</w:t>
      </w:r>
      <w:r w:rsidRPr="00BA4835">
        <w:rPr>
          <w:rFonts w:ascii="Arial" w:hAnsi="Arial" w:cs="Arial"/>
          <w:spacing w:val="-13"/>
        </w:rPr>
        <w:t xml:space="preserve"> </w:t>
      </w:r>
      <w:r w:rsidRPr="00BA4835">
        <w:rPr>
          <w:rFonts w:ascii="Arial" w:hAnsi="Arial" w:cs="Arial"/>
        </w:rPr>
        <w:t>suitable</w:t>
      </w:r>
      <w:r w:rsidRPr="00BA4835">
        <w:rPr>
          <w:rFonts w:ascii="Arial" w:hAnsi="Arial" w:cs="Arial"/>
        </w:rPr>
        <w:t>.</w:t>
      </w:r>
    </w:p>
    <w:p w14:paraId="64876C1F" w14:textId="77777777" w:rsidR="00CA2041" w:rsidRPr="00BA4835" w:rsidRDefault="00CA2041">
      <w:pPr>
        <w:pStyle w:val="BodyText"/>
        <w:spacing w:before="10"/>
        <w:ind w:left="0"/>
        <w:rPr>
          <w:rFonts w:ascii="Arial" w:hAnsi="Arial" w:cs="Arial"/>
        </w:rPr>
      </w:pPr>
    </w:p>
    <w:p w14:paraId="3A4BD733" w14:textId="77777777" w:rsidR="00CA2041" w:rsidRPr="00011493" w:rsidRDefault="006705E5">
      <w:pPr>
        <w:pStyle w:val="Heading1"/>
        <w:spacing w:before="1"/>
        <w:rPr>
          <w:rFonts w:ascii="Arial" w:hAnsi="Arial" w:cs="Arial"/>
          <w:color w:val="000000" w:themeColor="text1"/>
        </w:rPr>
      </w:pPr>
      <w:r w:rsidRPr="00011493">
        <w:rPr>
          <w:rFonts w:ascii="Arial" w:hAnsi="Arial" w:cs="Arial"/>
          <w:color w:val="000000" w:themeColor="text1"/>
        </w:rPr>
        <w:t>How do you store data securely?</w:t>
      </w:r>
    </w:p>
    <w:p w14:paraId="0A8B95A0" w14:textId="77777777" w:rsidR="00CA2041" w:rsidRPr="00BA4835" w:rsidRDefault="006705E5">
      <w:pPr>
        <w:pStyle w:val="BodyText"/>
        <w:spacing w:before="182"/>
        <w:ind w:right="449"/>
        <w:rPr>
          <w:rFonts w:ascii="Arial" w:hAnsi="Arial" w:cs="Arial"/>
        </w:rPr>
      </w:pPr>
      <w:r w:rsidRPr="00BA4835">
        <w:rPr>
          <w:rFonts w:ascii="Arial" w:hAnsi="Arial" w:cs="Arial"/>
          <w:color w:val="31302F"/>
        </w:rPr>
        <w:t>Social Finance is Cyber Essentials Plus accredited and has built relevant ISO27001 compatible processes to ensure we meet our partners data protection requirements and recognised industry security standards, and always p</w:t>
      </w:r>
      <w:r w:rsidRPr="00BA4835">
        <w:rPr>
          <w:rFonts w:ascii="Arial" w:hAnsi="Arial" w:cs="Arial"/>
          <w:color w:val="31302F"/>
        </w:rPr>
        <w:t>reserve the confidentiality, integrity and availability of personal information.</w:t>
      </w:r>
    </w:p>
    <w:p w14:paraId="27F7C34A" w14:textId="77777777" w:rsidR="00CA2041" w:rsidRPr="00BA4835" w:rsidRDefault="00CA2041">
      <w:pPr>
        <w:pStyle w:val="BodyText"/>
        <w:spacing w:before="5"/>
        <w:ind w:left="0"/>
        <w:rPr>
          <w:rFonts w:ascii="Arial" w:hAnsi="Arial" w:cs="Arial"/>
        </w:rPr>
      </w:pPr>
    </w:p>
    <w:p w14:paraId="670BAF25" w14:textId="77777777" w:rsidR="00CA2041" w:rsidRPr="00BA4835" w:rsidRDefault="006705E5">
      <w:pPr>
        <w:pStyle w:val="BodyText"/>
        <w:ind w:right="400"/>
        <w:rPr>
          <w:rFonts w:ascii="Arial" w:hAnsi="Arial" w:cs="Arial"/>
        </w:rPr>
      </w:pPr>
      <w:r w:rsidRPr="00BA4835">
        <w:rPr>
          <w:rFonts w:ascii="Arial" w:hAnsi="Arial" w:cs="Arial"/>
          <w:color w:val="31302F"/>
        </w:rPr>
        <w:t xml:space="preserve">Our ICT service provider is ISO20071 accredited. Social Finance Limited is registered as a Tier 1 organisations with the ICO. Our registration number is Z1494575. We have in </w:t>
      </w:r>
      <w:r w:rsidRPr="00BA4835">
        <w:rPr>
          <w:rFonts w:ascii="Arial" w:hAnsi="Arial" w:cs="Arial"/>
          <w:color w:val="31302F"/>
        </w:rPr>
        <w:t>place both technical measures and organisational security measures that are compliant with the Data Protection Act 2018 and General Data Protection Regulation, as well as the latest ICO guidance.</w:t>
      </w:r>
    </w:p>
    <w:p w14:paraId="464B004C" w14:textId="77777777" w:rsidR="00CA2041" w:rsidRPr="00BA4835" w:rsidRDefault="00CA2041">
      <w:pPr>
        <w:pStyle w:val="BodyText"/>
        <w:spacing w:before="8"/>
        <w:ind w:left="0"/>
        <w:rPr>
          <w:rFonts w:ascii="Arial" w:hAnsi="Arial" w:cs="Arial"/>
        </w:rPr>
      </w:pPr>
    </w:p>
    <w:p w14:paraId="465745FD" w14:textId="77777777" w:rsidR="00CA2041" w:rsidRPr="00BA4835" w:rsidRDefault="006705E5">
      <w:pPr>
        <w:pStyle w:val="Heading1"/>
        <w:rPr>
          <w:rFonts w:ascii="Arial" w:hAnsi="Arial" w:cs="Arial"/>
        </w:rPr>
      </w:pPr>
      <w:r w:rsidRPr="00BA4835">
        <w:rPr>
          <w:rFonts w:ascii="Arial" w:hAnsi="Arial" w:cs="Arial"/>
          <w:color w:val="31302F"/>
        </w:rPr>
        <w:t>Organisational Controls</w:t>
      </w:r>
    </w:p>
    <w:p w14:paraId="1D24E7B5" w14:textId="77777777" w:rsidR="00CA2041" w:rsidRPr="00BA4835" w:rsidRDefault="006705E5">
      <w:pPr>
        <w:pStyle w:val="BodyText"/>
        <w:spacing w:before="120"/>
        <w:ind w:right="125"/>
        <w:rPr>
          <w:rFonts w:ascii="Arial" w:hAnsi="Arial" w:cs="Arial"/>
        </w:rPr>
      </w:pPr>
      <w:r w:rsidRPr="00BA4835">
        <w:rPr>
          <w:rFonts w:ascii="Arial" w:hAnsi="Arial" w:cs="Arial"/>
          <w:color w:val="31302F"/>
        </w:rPr>
        <w:t>Information security responsibility</w:t>
      </w:r>
      <w:r w:rsidRPr="00BA4835">
        <w:rPr>
          <w:rFonts w:ascii="Arial" w:hAnsi="Arial" w:cs="Arial"/>
          <w:color w:val="31302F"/>
        </w:rPr>
        <w:t xml:space="preserve"> sits with the Chief Information Officer. Social Finance does not meet the criteria for needing to appoint a DPO, but our CIO is a certified GDPR Practitioner. The CIO reports to the board on an ad hoc basis if required in line with our incident escalation</w:t>
      </w:r>
      <w:r w:rsidRPr="00BA4835">
        <w:rPr>
          <w:rFonts w:ascii="Arial" w:hAnsi="Arial" w:cs="Arial"/>
          <w:color w:val="31302F"/>
        </w:rPr>
        <w:t xml:space="preserve"> policy. The CIO also briefs the senior management team on any related issues. Any ongoing or serious issues are discussed at the Operating Committee meeting with Business Unit Heads so that impact on all business as usual can be assessed.</w:t>
      </w:r>
    </w:p>
    <w:p w14:paraId="2BD9DAB4" w14:textId="77777777" w:rsidR="00CA2041" w:rsidRPr="00BA4835" w:rsidRDefault="00CA2041">
      <w:pPr>
        <w:pStyle w:val="BodyText"/>
        <w:spacing w:before="6"/>
        <w:ind w:left="0"/>
        <w:rPr>
          <w:rFonts w:ascii="Arial" w:hAnsi="Arial" w:cs="Arial"/>
        </w:rPr>
      </w:pPr>
    </w:p>
    <w:p w14:paraId="5FA7FDF6" w14:textId="77777777" w:rsidR="00CA2041" w:rsidRPr="00BA4835" w:rsidRDefault="006705E5">
      <w:pPr>
        <w:pStyle w:val="Heading1"/>
        <w:rPr>
          <w:rFonts w:ascii="Arial" w:hAnsi="Arial" w:cs="Arial"/>
        </w:rPr>
      </w:pPr>
      <w:r w:rsidRPr="00BA4835">
        <w:rPr>
          <w:rFonts w:ascii="Arial" w:hAnsi="Arial" w:cs="Arial"/>
          <w:color w:val="31302F"/>
        </w:rPr>
        <w:t>Storage of pers</w:t>
      </w:r>
      <w:r w:rsidRPr="00BA4835">
        <w:rPr>
          <w:rFonts w:ascii="Arial" w:hAnsi="Arial" w:cs="Arial"/>
          <w:color w:val="31302F"/>
        </w:rPr>
        <w:t>onal data</w:t>
      </w:r>
    </w:p>
    <w:p w14:paraId="4AC6A6A6" w14:textId="77777777" w:rsidR="00CA2041" w:rsidRPr="00BA4835" w:rsidRDefault="006705E5">
      <w:pPr>
        <w:pStyle w:val="BodyText"/>
        <w:spacing w:before="121"/>
        <w:ind w:right="206"/>
        <w:rPr>
          <w:rFonts w:ascii="Arial" w:hAnsi="Arial" w:cs="Arial"/>
        </w:rPr>
      </w:pPr>
      <w:r w:rsidRPr="00BA4835">
        <w:rPr>
          <w:rFonts w:ascii="Arial" w:hAnsi="Arial" w:cs="Arial"/>
          <w:color w:val="31302F"/>
        </w:rPr>
        <w:t>Sensitive and/or personal data processed by with Social Finance will be stored in our Office 365 environment hosted in the UK. Data stored within Office 365 which is encrypted in transit and at rest. Appropriate access policies are set that restr</w:t>
      </w:r>
      <w:r w:rsidRPr="00BA4835">
        <w:rPr>
          <w:rFonts w:ascii="Arial" w:hAnsi="Arial" w:cs="Arial"/>
          <w:color w:val="31302F"/>
        </w:rPr>
        <w:t>icted to only those members of staff in the project team that are required to access the data.</w:t>
      </w:r>
    </w:p>
    <w:p w14:paraId="41F417CE" w14:textId="77777777" w:rsidR="00CA2041" w:rsidRPr="00BA4835" w:rsidRDefault="00CA2041">
      <w:pPr>
        <w:pStyle w:val="BodyText"/>
        <w:spacing w:before="7"/>
        <w:ind w:left="0"/>
        <w:rPr>
          <w:rFonts w:ascii="Arial" w:hAnsi="Arial" w:cs="Arial"/>
        </w:rPr>
      </w:pPr>
    </w:p>
    <w:p w14:paraId="4C420A15" w14:textId="77777777" w:rsidR="00CA2041" w:rsidRPr="00BA4835" w:rsidRDefault="006705E5">
      <w:pPr>
        <w:pStyle w:val="BodyText"/>
        <w:ind w:right="738"/>
        <w:rPr>
          <w:rFonts w:ascii="Arial" w:hAnsi="Arial" w:cs="Arial"/>
        </w:rPr>
      </w:pPr>
      <w:r w:rsidRPr="00BA4835">
        <w:rPr>
          <w:rFonts w:ascii="Arial" w:hAnsi="Arial" w:cs="Arial"/>
          <w:color w:val="31302F"/>
        </w:rPr>
        <w:t>Access to SharePoint is protected via multi-factor authentication methods, access policies and geographic blocks. Data Leak Prevention is configured for all sys</w:t>
      </w:r>
      <w:r w:rsidRPr="00BA4835">
        <w:rPr>
          <w:rFonts w:ascii="Arial" w:hAnsi="Arial" w:cs="Arial"/>
          <w:color w:val="31302F"/>
        </w:rPr>
        <w:t>tems accessing the data.</w:t>
      </w:r>
    </w:p>
    <w:p w14:paraId="1C89B613" w14:textId="77777777" w:rsidR="00CA2041" w:rsidRPr="00BA4835" w:rsidRDefault="00CA2041">
      <w:pPr>
        <w:rPr>
          <w:rFonts w:ascii="Arial" w:hAnsi="Arial" w:cs="Arial"/>
        </w:rPr>
        <w:sectPr w:rsidR="00CA2041" w:rsidRPr="00BA4835">
          <w:pgSz w:w="11910" w:h="16840"/>
          <w:pgMar w:top="1440" w:right="1320" w:bottom="280" w:left="1340" w:header="283" w:footer="0" w:gutter="0"/>
          <w:cols w:space="720"/>
        </w:sectPr>
      </w:pPr>
    </w:p>
    <w:p w14:paraId="3ABD603A" w14:textId="77777777" w:rsidR="00011493" w:rsidRDefault="00011493" w:rsidP="00011493">
      <w:pPr>
        <w:pStyle w:val="BodyText"/>
        <w:spacing w:line="252" w:lineRule="exact"/>
        <w:rPr>
          <w:rFonts w:ascii="Arial" w:hAnsi="Arial" w:cs="Arial"/>
          <w:color w:val="31302F"/>
        </w:rPr>
      </w:pPr>
    </w:p>
    <w:p w14:paraId="2045AC07" w14:textId="28E6D670" w:rsidR="00CA2041" w:rsidRPr="00BA4835" w:rsidRDefault="006705E5" w:rsidP="00011493">
      <w:pPr>
        <w:pStyle w:val="BodyText"/>
        <w:spacing w:line="252" w:lineRule="exact"/>
        <w:rPr>
          <w:rFonts w:ascii="Arial" w:hAnsi="Arial" w:cs="Arial"/>
        </w:rPr>
      </w:pPr>
      <w:r w:rsidRPr="00BA4835">
        <w:rPr>
          <w:rFonts w:ascii="Arial" w:hAnsi="Arial" w:cs="Arial"/>
          <w:color w:val="31302F"/>
        </w:rPr>
        <w:t>Access requests are authorised by the CIO or COO, and changes to permissions can only be applied</w:t>
      </w:r>
      <w:r w:rsidR="00011493">
        <w:rPr>
          <w:rFonts w:ascii="Arial" w:hAnsi="Arial" w:cs="Arial"/>
        </w:rPr>
        <w:t xml:space="preserve"> </w:t>
      </w:r>
      <w:r w:rsidRPr="00BA4835">
        <w:rPr>
          <w:rFonts w:ascii="Arial" w:hAnsi="Arial" w:cs="Arial"/>
          <w:color w:val="31302F"/>
        </w:rPr>
        <w:t>through our ICT support provider following their ISO27001 accredited processes.</w:t>
      </w:r>
    </w:p>
    <w:p w14:paraId="2BE54AB5" w14:textId="77777777" w:rsidR="00CA2041" w:rsidRPr="00BA4835" w:rsidRDefault="00CA2041">
      <w:pPr>
        <w:pStyle w:val="BodyText"/>
        <w:spacing w:before="7"/>
        <w:ind w:left="0"/>
        <w:rPr>
          <w:rFonts w:ascii="Arial" w:hAnsi="Arial" w:cs="Arial"/>
        </w:rPr>
      </w:pPr>
    </w:p>
    <w:p w14:paraId="166FC425" w14:textId="12BA6A5D" w:rsidR="00CA2041" w:rsidRPr="00BA4835" w:rsidRDefault="006705E5">
      <w:pPr>
        <w:pStyle w:val="BodyText"/>
        <w:ind w:right="289"/>
        <w:rPr>
          <w:rFonts w:ascii="Arial" w:hAnsi="Arial" w:cs="Arial"/>
        </w:rPr>
      </w:pPr>
      <w:r w:rsidRPr="00BA4835">
        <w:rPr>
          <w:rFonts w:ascii="Arial" w:hAnsi="Arial" w:cs="Arial"/>
          <w:color w:val="31302F"/>
        </w:rPr>
        <w:t xml:space="preserve">All devices accessing our system </w:t>
      </w:r>
      <w:r w:rsidR="00011493" w:rsidRPr="00BA4835">
        <w:rPr>
          <w:rFonts w:ascii="Arial" w:hAnsi="Arial" w:cs="Arial"/>
          <w:color w:val="31302F"/>
        </w:rPr>
        <w:t>must</w:t>
      </w:r>
      <w:r w:rsidRPr="00BA4835">
        <w:rPr>
          <w:rFonts w:ascii="Arial" w:hAnsi="Arial" w:cs="Arial"/>
          <w:color w:val="31302F"/>
        </w:rPr>
        <w:t xml:space="preserve"> meet our device policies, which include device encryption, up-to-date OS and software patches, current and up-to-date virus scanner. D</w:t>
      </w:r>
      <w:r w:rsidRPr="00BA4835">
        <w:rPr>
          <w:rFonts w:ascii="Arial" w:hAnsi="Arial" w:cs="Arial"/>
          <w:color w:val="31302F"/>
        </w:rPr>
        <w:t>evice compliance is actively monitored.</w:t>
      </w:r>
    </w:p>
    <w:p w14:paraId="58C4705E" w14:textId="77777777" w:rsidR="00CA2041" w:rsidRPr="00BA4835" w:rsidRDefault="00CA2041">
      <w:pPr>
        <w:pStyle w:val="BodyText"/>
        <w:spacing w:before="5"/>
        <w:ind w:left="0"/>
        <w:rPr>
          <w:rFonts w:ascii="Arial" w:hAnsi="Arial" w:cs="Arial"/>
        </w:rPr>
      </w:pPr>
    </w:p>
    <w:p w14:paraId="0317B772" w14:textId="77777777" w:rsidR="00CA2041" w:rsidRPr="00BA4835" w:rsidRDefault="006705E5">
      <w:pPr>
        <w:pStyle w:val="Heading1"/>
        <w:rPr>
          <w:rFonts w:ascii="Arial" w:hAnsi="Arial" w:cs="Arial"/>
        </w:rPr>
      </w:pPr>
      <w:r w:rsidRPr="00BA4835">
        <w:rPr>
          <w:rFonts w:ascii="Arial" w:hAnsi="Arial" w:cs="Arial"/>
          <w:color w:val="31302F"/>
        </w:rPr>
        <w:t>Transmission of personal data</w:t>
      </w:r>
    </w:p>
    <w:p w14:paraId="3FE5361A" w14:textId="58846CB1" w:rsidR="00CA2041" w:rsidRPr="00BA4835" w:rsidRDefault="006705E5">
      <w:pPr>
        <w:pStyle w:val="BodyText"/>
        <w:spacing w:before="120"/>
        <w:ind w:right="168"/>
        <w:rPr>
          <w:rFonts w:ascii="Arial" w:hAnsi="Arial" w:cs="Arial"/>
        </w:rPr>
      </w:pPr>
      <w:r w:rsidRPr="00BA4835">
        <w:rPr>
          <w:rFonts w:ascii="Arial" w:hAnsi="Arial" w:cs="Arial"/>
          <w:color w:val="31302F"/>
        </w:rPr>
        <w:t xml:space="preserve">Transmission of personal data to and from Social Finance systems is as specified by the data </w:t>
      </w:r>
      <w:r w:rsidR="00011493" w:rsidRPr="00BA4835">
        <w:rPr>
          <w:rFonts w:ascii="Arial" w:hAnsi="Arial" w:cs="Arial"/>
          <w:color w:val="31302F"/>
        </w:rPr>
        <w:t>Controller and</w:t>
      </w:r>
      <w:r w:rsidRPr="00BA4835">
        <w:rPr>
          <w:rFonts w:ascii="Arial" w:hAnsi="Arial" w:cs="Arial"/>
          <w:color w:val="31302F"/>
        </w:rPr>
        <w:t xml:space="preserve"> may take place via direct access to a secure Document Library in Office 365,</w:t>
      </w:r>
      <w:r w:rsidRPr="00BA4835">
        <w:rPr>
          <w:rFonts w:ascii="Arial" w:hAnsi="Arial" w:cs="Arial"/>
          <w:color w:val="31302F"/>
        </w:rPr>
        <w:t xml:space="preserve"> or via encrypted file transfer method (</w:t>
      </w:r>
      <w:r w:rsidR="00011493" w:rsidRPr="00BA4835">
        <w:rPr>
          <w:rFonts w:ascii="Arial" w:hAnsi="Arial" w:cs="Arial"/>
          <w:color w:val="31302F"/>
        </w:rPr>
        <w:t>e.g.,</w:t>
      </w:r>
      <w:r w:rsidRPr="00BA4835">
        <w:rPr>
          <w:rFonts w:ascii="Arial" w:hAnsi="Arial" w:cs="Arial"/>
          <w:color w:val="31302F"/>
        </w:rPr>
        <w:t xml:space="preserve"> Huddle/Egress) as so long as it is compliant with both legislation and guidelines.</w:t>
      </w:r>
    </w:p>
    <w:p w14:paraId="57596B4C" w14:textId="77777777" w:rsidR="00CA2041" w:rsidRPr="00BA4835" w:rsidRDefault="00CA2041">
      <w:pPr>
        <w:pStyle w:val="BodyText"/>
        <w:spacing w:before="8"/>
        <w:ind w:left="0"/>
        <w:rPr>
          <w:rFonts w:ascii="Arial" w:hAnsi="Arial" w:cs="Arial"/>
        </w:rPr>
      </w:pPr>
    </w:p>
    <w:p w14:paraId="1C762A03" w14:textId="77777777" w:rsidR="00CA2041" w:rsidRPr="00BA4835" w:rsidRDefault="006705E5">
      <w:pPr>
        <w:pStyle w:val="Heading1"/>
        <w:rPr>
          <w:rFonts w:ascii="Arial" w:hAnsi="Arial" w:cs="Arial"/>
        </w:rPr>
      </w:pPr>
      <w:r w:rsidRPr="00BA4835">
        <w:rPr>
          <w:rFonts w:ascii="Arial" w:hAnsi="Arial" w:cs="Arial"/>
          <w:color w:val="31302F"/>
        </w:rPr>
        <w:t>Staff Responsibilities and Training</w:t>
      </w:r>
    </w:p>
    <w:p w14:paraId="7C36820A" w14:textId="52840DC9" w:rsidR="00CA2041" w:rsidRPr="00BA4835" w:rsidRDefault="006705E5">
      <w:pPr>
        <w:pStyle w:val="BodyText"/>
        <w:spacing w:before="120"/>
        <w:ind w:right="125"/>
        <w:rPr>
          <w:rFonts w:ascii="Arial" w:hAnsi="Arial" w:cs="Arial"/>
        </w:rPr>
      </w:pPr>
      <w:r w:rsidRPr="00BA4835">
        <w:rPr>
          <w:rFonts w:ascii="Arial" w:hAnsi="Arial" w:cs="Arial"/>
          <w:color w:val="31302F"/>
        </w:rPr>
        <w:t xml:space="preserve">All staff working with personal data </w:t>
      </w:r>
      <w:r w:rsidR="00011493" w:rsidRPr="00BA4835">
        <w:rPr>
          <w:rFonts w:ascii="Arial" w:hAnsi="Arial" w:cs="Arial"/>
          <w:color w:val="31302F"/>
        </w:rPr>
        <w:t>must</w:t>
      </w:r>
      <w:r w:rsidRPr="00BA4835">
        <w:rPr>
          <w:rFonts w:ascii="Arial" w:hAnsi="Arial" w:cs="Arial"/>
          <w:color w:val="31302F"/>
        </w:rPr>
        <w:t xml:space="preserve"> undertake annual data protection and informati</w:t>
      </w:r>
      <w:r w:rsidRPr="00BA4835">
        <w:rPr>
          <w:rFonts w:ascii="Arial" w:hAnsi="Arial" w:cs="Arial"/>
          <w:color w:val="31302F"/>
        </w:rPr>
        <w:t>on security training which includes phishing awareness. Where we process qualifying data, staff are also required to have a current DBS check within a maximum of 2 years from the project start date.</w:t>
      </w:r>
    </w:p>
    <w:p w14:paraId="21D1D31E" w14:textId="77777777" w:rsidR="00CA2041" w:rsidRPr="00BA4835" w:rsidRDefault="00CA2041">
      <w:pPr>
        <w:pStyle w:val="BodyText"/>
        <w:spacing w:before="4"/>
        <w:ind w:left="0"/>
        <w:rPr>
          <w:rFonts w:ascii="Arial" w:hAnsi="Arial" w:cs="Arial"/>
        </w:rPr>
      </w:pPr>
    </w:p>
    <w:p w14:paraId="099CE152" w14:textId="77777777" w:rsidR="00CA2041" w:rsidRPr="00011493" w:rsidRDefault="006705E5">
      <w:pPr>
        <w:pStyle w:val="Heading1"/>
        <w:spacing w:before="1"/>
        <w:rPr>
          <w:rFonts w:ascii="Arial" w:hAnsi="Arial" w:cs="Arial"/>
          <w:color w:val="000000" w:themeColor="text1"/>
        </w:rPr>
      </w:pPr>
      <w:r w:rsidRPr="00011493">
        <w:rPr>
          <w:rFonts w:ascii="Arial" w:hAnsi="Arial" w:cs="Arial"/>
          <w:color w:val="000000" w:themeColor="text1"/>
        </w:rPr>
        <w:t>How will data be deleted?</w:t>
      </w:r>
    </w:p>
    <w:p w14:paraId="627CBBD6" w14:textId="77777777" w:rsidR="00CA2041" w:rsidRPr="00BA4835" w:rsidRDefault="006705E5">
      <w:pPr>
        <w:pStyle w:val="BodyText"/>
        <w:spacing w:before="180" w:line="259" w:lineRule="auto"/>
        <w:ind w:right="276"/>
        <w:rPr>
          <w:rFonts w:ascii="Arial" w:hAnsi="Arial" w:cs="Arial"/>
        </w:rPr>
      </w:pPr>
      <w:r w:rsidRPr="00BA4835">
        <w:rPr>
          <w:rFonts w:ascii="Arial" w:hAnsi="Arial" w:cs="Arial"/>
        </w:rPr>
        <w:t>No personal data about clien</w:t>
      </w:r>
      <w:r w:rsidRPr="00BA4835">
        <w:rPr>
          <w:rFonts w:ascii="Arial" w:hAnsi="Arial" w:cs="Arial"/>
        </w:rPr>
        <w:t>ts will be placed within the fidelity report. Generalised comments may be made about clinical notes however, nothing identifiable would be produced.</w:t>
      </w:r>
    </w:p>
    <w:p w14:paraId="17C9AFF9" w14:textId="6B4AA32E" w:rsidR="00CA2041" w:rsidRPr="00BA4835" w:rsidRDefault="006705E5" w:rsidP="00011493">
      <w:pPr>
        <w:pStyle w:val="BodyText"/>
        <w:spacing w:before="161" w:line="259" w:lineRule="auto"/>
        <w:ind w:right="196"/>
        <w:rPr>
          <w:rFonts w:ascii="Arial" w:hAnsi="Arial" w:cs="Arial"/>
        </w:rPr>
      </w:pPr>
      <w:r w:rsidRPr="00BA4835">
        <w:rPr>
          <w:rFonts w:ascii="Arial" w:hAnsi="Arial" w:cs="Arial"/>
        </w:rPr>
        <w:t xml:space="preserve">2 weeks after the review has been completed (meaning the final report has been submitted to you), personal </w:t>
      </w:r>
      <w:r w:rsidRPr="00BA4835">
        <w:rPr>
          <w:rFonts w:ascii="Arial" w:hAnsi="Arial" w:cs="Arial"/>
        </w:rPr>
        <w:t>data related to the review will be deleted. Your organisation will be responsible for deleting any personal data hosted within a Microsoft Teams site or OneNote document that has been shared with us. We can provide you with an email confirmation at this po</w:t>
      </w:r>
      <w:r w:rsidRPr="00BA4835">
        <w:rPr>
          <w:rFonts w:ascii="Arial" w:hAnsi="Arial" w:cs="Arial"/>
        </w:rPr>
        <w:t>int to provide assurance that all personal data has been deleted.</w:t>
      </w:r>
    </w:p>
    <w:p w14:paraId="2F709330" w14:textId="77777777" w:rsidR="00CA2041" w:rsidRPr="00BA4835" w:rsidRDefault="00CA2041">
      <w:pPr>
        <w:pStyle w:val="BodyText"/>
        <w:spacing w:before="9"/>
        <w:ind w:left="0"/>
        <w:rPr>
          <w:rFonts w:ascii="Arial" w:hAnsi="Arial" w:cs="Arial"/>
        </w:rPr>
      </w:pPr>
    </w:p>
    <w:p w14:paraId="0CCB66F7" w14:textId="77777777" w:rsidR="00CA2041" w:rsidRPr="00011493" w:rsidRDefault="006705E5">
      <w:pPr>
        <w:pStyle w:val="Heading1"/>
        <w:rPr>
          <w:rFonts w:ascii="Arial" w:hAnsi="Arial" w:cs="Arial"/>
          <w:color w:val="000000" w:themeColor="text1"/>
        </w:rPr>
      </w:pPr>
      <w:r w:rsidRPr="00011493">
        <w:rPr>
          <w:rFonts w:ascii="Arial" w:hAnsi="Arial" w:cs="Arial"/>
          <w:color w:val="000000" w:themeColor="text1"/>
        </w:rPr>
        <w:t>Will there be a need to share personal data in technical support?</w:t>
      </w:r>
    </w:p>
    <w:p w14:paraId="504FDB5D" w14:textId="77777777" w:rsidR="00011493" w:rsidRDefault="006705E5" w:rsidP="00011493">
      <w:pPr>
        <w:pStyle w:val="BodyText"/>
        <w:spacing w:before="183"/>
        <w:ind w:right="168"/>
        <w:rPr>
          <w:rFonts w:ascii="Arial" w:hAnsi="Arial" w:cs="Arial"/>
        </w:rPr>
      </w:pPr>
      <w:r w:rsidRPr="00BA4835">
        <w:rPr>
          <w:rFonts w:ascii="Arial" w:hAnsi="Arial" w:cs="Arial"/>
        </w:rPr>
        <w:t>After the fidelity review, IPS Grow will offer technical support as highlighted in the first section of this document. Most of the data required through these sessions will be non-identifiable. However, in some instances we may require access to case infor</w:t>
      </w:r>
      <w:r w:rsidRPr="00BA4835">
        <w:rPr>
          <w:rFonts w:ascii="Arial" w:hAnsi="Arial" w:cs="Arial"/>
        </w:rPr>
        <w:t>mation (with the client’s permission) in order for an IPS Grow lead to support field mentoring or case reviews, attendance at IPS meetings, clinical team meetings etc.</w:t>
      </w:r>
    </w:p>
    <w:p w14:paraId="19EFA086" w14:textId="59669ADC" w:rsidR="00CA2041" w:rsidRPr="00BA4835" w:rsidRDefault="006705E5" w:rsidP="00011493">
      <w:pPr>
        <w:pStyle w:val="BodyText"/>
        <w:spacing w:before="183"/>
        <w:ind w:right="168"/>
        <w:rPr>
          <w:rFonts w:ascii="Arial" w:hAnsi="Arial" w:cs="Arial"/>
        </w:rPr>
      </w:pPr>
      <w:r w:rsidRPr="00BA4835">
        <w:rPr>
          <w:rFonts w:ascii="Arial" w:hAnsi="Arial" w:cs="Arial"/>
        </w:rPr>
        <w:t>Access to this personal data will be covered through the Data Sharing Agreement we will</w:t>
      </w:r>
      <w:r w:rsidRPr="00BA4835">
        <w:rPr>
          <w:rFonts w:ascii="Arial" w:hAnsi="Arial" w:cs="Arial"/>
        </w:rPr>
        <w:t xml:space="preserve"> sign as part of the fidelity review. Any additional personal data accessed when delivering technical support can be shared via the data sharing methods listed in Annex A. Personal data shared with us should be deleted 2 weeks after the technical support h</w:t>
      </w:r>
      <w:r w:rsidRPr="00BA4835">
        <w:rPr>
          <w:rFonts w:ascii="Arial" w:hAnsi="Arial" w:cs="Arial"/>
        </w:rPr>
        <w:t>as concluded, in line with the section above.</w:t>
      </w:r>
    </w:p>
    <w:sectPr w:rsidR="00CA2041" w:rsidRPr="00BA4835">
      <w:pgSz w:w="11910" w:h="16840"/>
      <w:pgMar w:top="1440" w:right="1320" w:bottom="280" w:left="134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87B9E" w14:textId="77777777" w:rsidR="006705E5" w:rsidRDefault="006705E5">
      <w:r>
        <w:separator/>
      </w:r>
    </w:p>
  </w:endnote>
  <w:endnote w:type="continuationSeparator" w:id="0">
    <w:p w14:paraId="7F2B440D" w14:textId="77777777" w:rsidR="006705E5" w:rsidRDefault="00670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563D" w14:textId="77777777" w:rsidR="006705E5" w:rsidRDefault="006705E5">
      <w:r>
        <w:separator/>
      </w:r>
    </w:p>
  </w:footnote>
  <w:footnote w:type="continuationSeparator" w:id="0">
    <w:p w14:paraId="609710BD" w14:textId="77777777" w:rsidR="006705E5" w:rsidRDefault="00670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2EE2" w14:textId="4951C328" w:rsidR="00CA2041" w:rsidRDefault="00BC0CE9">
    <w:pPr>
      <w:pStyle w:val="BodyText"/>
      <w:spacing w:line="14" w:lineRule="auto"/>
      <w:ind w:left="0"/>
      <w:rPr>
        <w:sz w:val="20"/>
      </w:rPr>
    </w:pPr>
    <w:r>
      <w:rPr>
        <w:noProof/>
      </w:rPr>
      <mc:AlternateContent>
        <mc:Choice Requires="wps">
          <w:drawing>
            <wp:anchor distT="45720" distB="45720" distL="114300" distR="114300" simplePos="0" relativeHeight="251660288" behindDoc="0" locked="0" layoutInCell="1" allowOverlap="1" wp14:anchorId="6AA0B1F3" wp14:editId="1F9C46B8">
              <wp:simplePos x="0" y="0"/>
              <wp:positionH relativeFrom="column">
                <wp:posOffset>774700</wp:posOffset>
              </wp:positionH>
              <wp:positionV relativeFrom="paragraph">
                <wp:posOffset>207645</wp:posOffset>
              </wp:positionV>
              <wp:extent cx="5724525" cy="2971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297180"/>
                      </a:xfrm>
                      <a:prstGeom prst="rect">
                        <a:avLst/>
                      </a:prstGeom>
                      <a:solidFill>
                        <a:srgbClr val="FFFFFF"/>
                      </a:solidFill>
                      <a:ln w="9525">
                        <a:noFill/>
                        <a:miter lim="800000"/>
                        <a:headEnd/>
                        <a:tailEnd/>
                      </a:ln>
                    </wps:spPr>
                    <wps:txbx>
                      <w:txbxContent>
                        <w:p w14:paraId="459756EC" w14:textId="71BE68B5" w:rsidR="00BA4835" w:rsidRPr="00D225C8" w:rsidRDefault="00BA4835" w:rsidP="00BA4835">
                          <w:pPr>
                            <w:jc w:val="right"/>
                            <w:rPr>
                              <w:rFonts w:ascii="Arial Rounded MT Bold" w:hAnsi="Arial Rounded MT Bold"/>
                              <w:color w:val="1D3054"/>
                              <w:sz w:val="28"/>
                              <w:szCs w:val="28"/>
                            </w:rPr>
                          </w:pPr>
                          <w:r>
                            <w:rPr>
                              <w:rFonts w:ascii="Arial Rounded MT Bold" w:hAnsi="Arial Rounded MT Bold"/>
                              <w:color w:val="1D3054"/>
                              <w:sz w:val="28"/>
                              <w:szCs w:val="28"/>
                            </w:rPr>
                            <w:t>Fidelity Reviews: Information Governance and Data Security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A0B1F3" id="_x0000_t202" coordsize="21600,21600" o:spt="202" path="m,l,21600r21600,l21600,xe">
              <v:stroke joinstyle="miter"/>
              <v:path gradientshapeok="t" o:connecttype="rect"/>
            </v:shapetype>
            <v:shape id="Text Box 5" o:spid="_x0000_s1026" type="#_x0000_t202" style="position:absolute;margin-left:61pt;margin-top:16.35pt;width:450.75pt;height:23.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" stroked="f">
              <v:textbox style="mso-fit-shape-to-text:t">
                <w:txbxContent>
                  <w:p w14:paraId="459756EC" w14:textId="71BE68B5" w:rsidR="00BA4835" w:rsidRPr="00D225C8" w:rsidRDefault="00BA4835" w:rsidP="00BA4835">
                    <w:pPr>
                      <w:jc w:val="right"/>
                      <w:rPr>
                        <w:rFonts w:ascii="Arial Rounded MT Bold" w:hAnsi="Arial Rounded MT Bold"/>
                        <w:color w:val="1D3054"/>
                        <w:sz w:val="28"/>
                        <w:szCs w:val="28"/>
                      </w:rPr>
                    </w:pPr>
                    <w:r>
                      <w:rPr>
                        <w:rFonts w:ascii="Arial Rounded MT Bold" w:hAnsi="Arial Rounded MT Bold"/>
                        <w:color w:val="1D3054"/>
                        <w:sz w:val="28"/>
                        <w:szCs w:val="28"/>
                      </w:rPr>
                      <w:t>Fidelity Reviews: Information Governance and Data Security</w:t>
                    </w:r>
                  </w:p>
                </w:txbxContent>
              </v:textbox>
            </v:shape>
          </w:pict>
        </mc:Fallback>
      </mc:AlternateContent>
    </w:r>
    <w:r w:rsidR="006705E5">
      <w:rPr>
        <w:noProof/>
      </w:rPr>
      <w:drawing>
        <wp:anchor distT="0" distB="0" distL="0" distR="0" simplePos="0" relativeHeight="251658240" behindDoc="1" locked="0" layoutInCell="1" allowOverlap="1" wp14:anchorId="04DFE486" wp14:editId="1C4EA3A7">
          <wp:simplePos x="0" y="0"/>
          <wp:positionH relativeFrom="page">
            <wp:posOffset>235650</wp:posOffset>
          </wp:positionH>
          <wp:positionV relativeFrom="page">
            <wp:posOffset>179845</wp:posOffset>
          </wp:positionV>
          <wp:extent cx="1139514" cy="448977"/>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39514" cy="448977"/>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0FE8EF46" wp14:editId="0198D053">
              <wp:simplePos x="0" y="0"/>
              <wp:positionH relativeFrom="page">
                <wp:posOffset>0</wp:posOffset>
              </wp:positionH>
              <wp:positionV relativeFrom="page">
                <wp:posOffset>880110</wp:posOffset>
              </wp:positionV>
              <wp:extent cx="7560310" cy="444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44450"/>
                      </a:xfrm>
                      <a:prstGeom prst="rect">
                        <a:avLst/>
                      </a:prstGeom>
                      <a:solidFill>
                        <a:srgbClr val="0C6D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9F83C" id="Rectangle 1" o:spid="_x0000_s1026" style="position:absolute;margin-left:0;margin-top:69.3pt;width:595.3pt;height: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" fillcolor="#0c6d91"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C73CE"/>
    <w:multiLevelType w:val="hybridMultilevel"/>
    <w:tmpl w:val="F41455DC"/>
    <w:lvl w:ilvl="0" w:tplc="673ABD12">
      <w:numFmt w:val="bullet"/>
      <w:lvlText w:val=""/>
      <w:lvlJc w:val="left"/>
      <w:pPr>
        <w:ind w:left="820" w:hanging="360"/>
      </w:pPr>
      <w:rPr>
        <w:rFonts w:ascii="Symbol" w:eastAsia="Symbol" w:hAnsi="Symbol" w:cs="Symbol" w:hint="default"/>
        <w:w w:val="100"/>
        <w:sz w:val="22"/>
        <w:szCs w:val="22"/>
        <w:lang w:val="en-US" w:eastAsia="en-US" w:bidi="ar-SA"/>
      </w:rPr>
    </w:lvl>
    <w:lvl w:ilvl="1" w:tplc="15AA7538">
      <w:numFmt w:val="bullet"/>
      <w:lvlText w:val="•"/>
      <w:lvlJc w:val="left"/>
      <w:pPr>
        <w:ind w:left="1662" w:hanging="360"/>
      </w:pPr>
      <w:rPr>
        <w:rFonts w:hint="default"/>
        <w:lang w:val="en-US" w:eastAsia="en-US" w:bidi="ar-SA"/>
      </w:rPr>
    </w:lvl>
    <w:lvl w:ilvl="2" w:tplc="64544C0C">
      <w:numFmt w:val="bullet"/>
      <w:lvlText w:val="•"/>
      <w:lvlJc w:val="left"/>
      <w:pPr>
        <w:ind w:left="2505" w:hanging="360"/>
      </w:pPr>
      <w:rPr>
        <w:rFonts w:hint="default"/>
        <w:lang w:val="en-US" w:eastAsia="en-US" w:bidi="ar-SA"/>
      </w:rPr>
    </w:lvl>
    <w:lvl w:ilvl="3" w:tplc="B76E9604">
      <w:numFmt w:val="bullet"/>
      <w:lvlText w:val="•"/>
      <w:lvlJc w:val="left"/>
      <w:pPr>
        <w:ind w:left="3347" w:hanging="360"/>
      </w:pPr>
      <w:rPr>
        <w:rFonts w:hint="default"/>
        <w:lang w:val="en-US" w:eastAsia="en-US" w:bidi="ar-SA"/>
      </w:rPr>
    </w:lvl>
    <w:lvl w:ilvl="4" w:tplc="AB348854">
      <w:numFmt w:val="bullet"/>
      <w:lvlText w:val="•"/>
      <w:lvlJc w:val="left"/>
      <w:pPr>
        <w:ind w:left="4190" w:hanging="360"/>
      </w:pPr>
      <w:rPr>
        <w:rFonts w:hint="default"/>
        <w:lang w:val="en-US" w:eastAsia="en-US" w:bidi="ar-SA"/>
      </w:rPr>
    </w:lvl>
    <w:lvl w:ilvl="5" w:tplc="6EE850FA">
      <w:numFmt w:val="bullet"/>
      <w:lvlText w:val="•"/>
      <w:lvlJc w:val="left"/>
      <w:pPr>
        <w:ind w:left="5033" w:hanging="360"/>
      </w:pPr>
      <w:rPr>
        <w:rFonts w:hint="default"/>
        <w:lang w:val="en-US" w:eastAsia="en-US" w:bidi="ar-SA"/>
      </w:rPr>
    </w:lvl>
    <w:lvl w:ilvl="6" w:tplc="E640E96C">
      <w:numFmt w:val="bullet"/>
      <w:lvlText w:val="•"/>
      <w:lvlJc w:val="left"/>
      <w:pPr>
        <w:ind w:left="5875" w:hanging="360"/>
      </w:pPr>
      <w:rPr>
        <w:rFonts w:hint="default"/>
        <w:lang w:val="en-US" w:eastAsia="en-US" w:bidi="ar-SA"/>
      </w:rPr>
    </w:lvl>
    <w:lvl w:ilvl="7" w:tplc="75DC0302">
      <w:numFmt w:val="bullet"/>
      <w:lvlText w:val="•"/>
      <w:lvlJc w:val="left"/>
      <w:pPr>
        <w:ind w:left="6718" w:hanging="360"/>
      </w:pPr>
      <w:rPr>
        <w:rFonts w:hint="default"/>
        <w:lang w:val="en-US" w:eastAsia="en-US" w:bidi="ar-SA"/>
      </w:rPr>
    </w:lvl>
    <w:lvl w:ilvl="8" w:tplc="DB0E39EE">
      <w:numFmt w:val="bullet"/>
      <w:lvlText w:val="•"/>
      <w:lvlJc w:val="left"/>
      <w:pPr>
        <w:ind w:left="756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041"/>
    <w:rsid w:val="00011493"/>
    <w:rsid w:val="006705E5"/>
    <w:rsid w:val="00BA4835"/>
    <w:rsid w:val="00BC0CE9"/>
    <w:rsid w:val="00CA2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CDCA9"/>
  <w15:docId w15:val="{980095D4-7950-4AD6-93BD-F8E803AC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103"/>
      <w:ind w:left="100"/>
    </w:pPr>
    <w:rPr>
      <w:rFonts w:ascii="Arial" w:eastAsia="Arial" w:hAnsi="Arial" w:cs="Arial"/>
      <w:b/>
      <w:bCs/>
      <w:sz w:val="36"/>
      <w:szCs w:val="36"/>
    </w:rPr>
  </w:style>
  <w:style w:type="paragraph" w:styleId="ListParagraph">
    <w:name w:val="List Paragraph"/>
    <w:basedOn w:val="Normal"/>
    <w:uiPriority w:val="1"/>
    <w:qFormat/>
    <w:pPr>
      <w:spacing w:before="22"/>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4835"/>
    <w:pPr>
      <w:tabs>
        <w:tab w:val="center" w:pos="4513"/>
        <w:tab w:val="right" w:pos="9026"/>
      </w:tabs>
    </w:pPr>
  </w:style>
  <w:style w:type="character" w:customStyle="1" w:styleId="HeaderChar">
    <w:name w:val="Header Char"/>
    <w:basedOn w:val="DefaultParagraphFont"/>
    <w:link w:val="Header"/>
    <w:uiPriority w:val="99"/>
    <w:rsid w:val="00BA4835"/>
    <w:rPr>
      <w:rFonts w:ascii="Carlito" w:eastAsia="Carlito" w:hAnsi="Carlito" w:cs="Carlito"/>
    </w:rPr>
  </w:style>
  <w:style w:type="paragraph" w:styleId="Footer">
    <w:name w:val="footer"/>
    <w:basedOn w:val="Normal"/>
    <w:link w:val="FooterChar"/>
    <w:uiPriority w:val="99"/>
    <w:unhideWhenUsed/>
    <w:rsid w:val="00BA4835"/>
    <w:pPr>
      <w:tabs>
        <w:tab w:val="center" w:pos="4513"/>
        <w:tab w:val="right" w:pos="9026"/>
      </w:tabs>
    </w:pPr>
  </w:style>
  <w:style w:type="character" w:customStyle="1" w:styleId="FooterChar">
    <w:name w:val="Footer Char"/>
    <w:basedOn w:val="DefaultParagraphFont"/>
    <w:link w:val="Footer"/>
    <w:uiPriority w:val="99"/>
    <w:rsid w:val="00BA4835"/>
    <w:rPr>
      <w:rFonts w:ascii="Carlito" w:eastAsia="Carlito" w:hAnsi="Carlito" w:cs="Carlito"/>
    </w:rPr>
  </w:style>
  <w:style w:type="character" w:styleId="Hyperlink">
    <w:name w:val="Hyperlink"/>
    <w:basedOn w:val="DefaultParagraphFont"/>
    <w:uiPriority w:val="99"/>
    <w:unhideWhenUsed/>
    <w:rsid w:val="00011493"/>
    <w:rPr>
      <w:color w:val="0000FF" w:themeColor="hyperlink"/>
      <w:u w:val="single"/>
    </w:rPr>
  </w:style>
  <w:style w:type="character" w:styleId="UnresolvedMention">
    <w:name w:val="Unresolved Mention"/>
    <w:basedOn w:val="DefaultParagraphFont"/>
    <w:uiPriority w:val="99"/>
    <w:semiHidden/>
    <w:unhideWhenUsed/>
    <w:rsid w:val="00011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psgrow.org.uk/wp-content/uploads/fidelity_review_form_uk_-_updated_dec_20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co.org.uk/for-organisations/guide-to-data-protection/guide-to-the-general-data-protection-regulation-gdpr/accountability-and-governance/data-protection-impact-assessments/"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Bex Spencer</dc:creator>
  <cp:lastModifiedBy>Gloria Nalumansi</cp:lastModifiedBy>
  <cp:revision>2</cp:revision>
  <dcterms:created xsi:type="dcterms:W3CDTF">2022-03-11T14:49:00Z</dcterms:created>
  <dcterms:modified xsi:type="dcterms:W3CDTF">2022-03-11T14:49:00Z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2021-12-10T00:00:00Z</vt:filetime>
  </property>
  <property fmtid="{D5CDD505-2E9C-101B-9397-08002B2CF9AE}" pid="3" name="Creator">
    <vt:lpwstr>Microsoft® Word for Microsoft 365</vt:lpwstr>
  </property>
  <property fmtid="{D5CDD505-2E9C-101B-9397-08002B2CF9AE}" pid="4" name="LastSaved">
    <vt:filetime>2022-03-11T00:00:00Z</vt:filetime>
  </property>
</Properties>
</file>