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58B47" w14:textId="77777777" w:rsidR="00143B5D" w:rsidRDefault="00143B5D" w:rsidP="008D7BE5">
      <w:pPr>
        <w:rPr>
          <w:rFonts w:ascii="Arial Rounded MT Bold" w:hAnsi="Arial Rounded MT Bold" w:cs="Arial"/>
          <w:color w:val="007B90" w:themeColor="accent2"/>
        </w:rPr>
      </w:pPr>
    </w:p>
    <w:p w14:paraId="64BC1CB1" w14:textId="699E4344" w:rsidR="0093405F" w:rsidRPr="00143B5D" w:rsidRDefault="00923941" w:rsidP="008D7BE5">
      <w:pPr>
        <w:rPr>
          <w:rFonts w:ascii="Arial" w:hAnsi="Arial" w:cs="Arial"/>
          <w:color w:val="1D3054"/>
          <w:sz w:val="28"/>
          <w:szCs w:val="28"/>
        </w:rPr>
      </w:pPr>
      <w:r w:rsidRPr="00143B5D">
        <w:rPr>
          <w:rFonts w:ascii="Arial Rounded MT Bold" w:hAnsi="Arial Rounded MT Bold" w:cs="Arial"/>
          <w:color w:val="007B90" w:themeColor="accent2"/>
          <w:sz w:val="28"/>
          <w:szCs w:val="28"/>
        </w:rPr>
        <w:t xml:space="preserve">IPS Grow </w:t>
      </w:r>
      <w:r w:rsidR="00143B5D">
        <w:rPr>
          <w:rFonts w:ascii="Arial Rounded MT Bold" w:hAnsi="Arial Rounded MT Bold" w:cs="Arial"/>
          <w:color w:val="007B90" w:themeColor="accent2"/>
          <w:sz w:val="28"/>
          <w:szCs w:val="28"/>
        </w:rPr>
        <w:t>Q</w:t>
      </w:r>
      <w:r w:rsidR="5CD135EF" w:rsidRPr="00143B5D">
        <w:rPr>
          <w:rFonts w:ascii="Arial Rounded MT Bold" w:hAnsi="Arial Rounded MT Bold" w:cs="Arial"/>
          <w:color w:val="007B90" w:themeColor="accent2"/>
          <w:sz w:val="28"/>
          <w:szCs w:val="28"/>
        </w:rPr>
        <w:t xml:space="preserve">uality </w:t>
      </w:r>
      <w:r w:rsidR="00143B5D">
        <w:rPr>
          <w:rFonts w:ascii="Arial Rounded MT Bold" w:hAnsi="Arial Rounded MT Bold" w:cs="Arial"/>
          <w:color w:val="007B90" w:themeColor="accent2"/>
          <w:sz w:val="28"/>
          <w:szCs w:val="28"/>
        </w:rPr>
        <w:t>I</w:t>
      </w:r>
      <w:r w:rsidR="5CD135EF" w:rsidRPr="00143B5D">
        <w:rPr>
          <w:rFonts w:ascii="Arial Rounded MT Bold" w:hAnsi="Arial Rounded MT Bold" w:cs="Arial"/>
          <w:color w:val="007B90" w:themeColor="accent2"/>
          <w:sz w:val="28"/>
          <w:szCs w:val="28"/>
        </w:rPr>
        <w:t xml:space="preserve">mprovement </w:t>
      </w:r>
      <w:r w:rsidR="00143B5D">
        <w:rPr>
          <w:rFonts w:ascii="Arial Rounded MT Bold" w:hAnsi="Arial Rounded MT Bold" w:cs="Arial"/>
          <w:color w:val="007B90" w:themeColor="accent2"/>
          <w:sz w:val="28"/>
          <w:szCs w:val="28"/>
        </w:rPr>
        <w:t>T</w:t>
      </w:r>
      <w:r w:rsidR="5CD135EF" w:rsidRPr="00143B5D">
        <w:rPr>
          <w:rFonts w:ascii="Arial Rounded MT Bold" w:hAnsi="Arial Rounded MT Bold" w:cs="Arial"/>
          <w:color w:val="007B90" w:themeColor="accent2"/>
          <w:sz w:val="28"/>
          <w:szCs w:val="28"/>
        </w:rPr>
        <w:t>ools</w:t>
      </w:r>
    </w:p>
    <w:p w14:paraId="69159531" w14:textId="7C097900" w:rsidR="00474781" w:rsidRPr="00474781" w:rsidRDefault="00474781" w:rsidP="008D7BE5">
      <w:pPr>
        <w:rPr>
          <w:rFonts w:ascii="Arial" w:hAnsi="Arial" w:cs="Arial"/>
          <w:sz w:val="22"/>
          <w:szCs w:val="22"/>
        </w:rPr>
      </w:pPr>
    </w:p>
    <w:p w14:paraId="79E8B11C" w14:textId="4215EDEC" w:rsidR="0022451A" w:rsidRDefault="0022451A" w:rsidP="0022451A">
      <w:pPr>
        <w:pStyle w:val="Heading-blue"/>
        <w:ind w:hanging="709"/>
        <w:rPr>
          <w:rFonts w:ascii="Arial" w:hAnsi="Arial" w:cs="Arial"/>
          <w:b/>
          <w:bCs/>
          <w:color w:val="auto"/>
          <w:sz w:val="22"/>
          <w:szCs w:val="22"/>
          <w:shd w:val="clear" w:color="auto" w:fill="FFFFFF"/>
          <w:lang w:eastAsia="en-GB"/>
        </w:rPr>
      </w:pPr>
      <w:r w:rsidRPr="007E1389">
        <w:rPr>
          <w:rFonts w:ascii="Arial" w:hAnsi="Arial" w:cs="Arial"/>
          <w:b/>
          <w:bCs/>
          <w:color w:val="auto"/>
          <w:sz w:val="22"/>
          <w:szCs w:val="22"/>
          <w:shd w:val="clear" w:color="auto" w:fill="FFFFFF"/>
          <w:lang w:eastAsia="en-GB"/>
        </w:rPr>
        <w:t>Introduction</w:t>
      </w:r>
    </w:p>
    <w:p w14:paraId="5E555538" w14:textId="77777777" w:rsidR="008D247E" w:rsidRPr="007E1389" w:rsidRDefault="008D247E" w:rsidP="0022451A">
      <w:pPr>
        <w:pStyle w:val="Heading-blue"/>
        <w:ind w:hanging="709"/>
        <w:rPr>
          <w:rFonts w:ascii="Arial" w:eastAsia="Times New Roman" w:hAnsi="Arial" w:cs="Arial"/>
          <w:b/>
          <w:bCs/>
          <w:color w:val="auto"/>
          <w:sz w:val="22"/>
          <w:szCs w:val="22"/>
          <w:shd w:val="clear" w:color="auto" w:fill="FFFFFF"/>
          <w:lang w:eastAsia="en-GB"/>
        </w:rPr>
      </w:pPr>
    </w:p>
    <w:p w14:paraId="7D24326E" w14:textId="453366B0" w:rsidR="4766BF53" w:rsidRDefault="4766BF53" w:rsidP="7863C80E">
      <w:pPr>
        <w:pStyle w:val="Bodycopy"/>
        <w:ind w:left="-709"/>
        <w:rPr>
          <w:color w:val="000000" w:themeColor="text1"/>
          <w:sz w:val="22"/>
          <w:szCs w:val="22"/>
        </w:rPr>
      </w:pPr>
      <w:r w:rsidRPr="7863C80E">
        <w:rPr>
          <w:rFonts w:eastAsia="Arial"/>
          <w:color w:val="000000" w:themeColor="text1"/>
          <w:sz w:val="22"/>
          <w:szCs w:val="22"/>
        </w:rPr>
        <w:t>This document has been developed in collaboration with high fidelity UK IPS services. It is intended to provide high level guidance and recommended quality indicators for IPS services. Contract quality indicators and those set by commissioners may vary from these based on local need and variation.</w:t>
      </w:r>
    </w:p>
    <w:p w14:paraId="5FD21D21" w14:textId="1F517C6C" w:rsidR="591FB29B" w:rsidRDefault="591FB29B" w:rsidP="591FB29B">
      <w:pPr>
        <w:pStyle w:val="Bodycopy"/>
        <w:ind w:left="-709"/>
        <w:rPr>
          <w:sz w:val="22"/>
          <w:szCs w:val="22"/>
          <w:highlight w:val="yellow"/>
        </w:rPr>
      </w:pPr>
    </w:p>
    <w:p w14:paraId="51A487C0" w14:textId="77777777" w:rsidR="00F616D3" w:rsidRPr="006D5FC7" w:rsidRDefault="00F616D3" w:rsidP="00F616D3">
      <w:pPr>
        <w:pStyle w:val="Bodycopy"/>
        <w:ind w:hanging="709"/>
        <w:rPr>
          <w:b/>
          <w:bCs/>
          <w:color w:val="FF0000"/>
          <w:sz w:val="22"/>
          <w:szCs w:val="22"/>
        </w:rPr>
      </w:pPr>
      <w:r w:rsidRPr="006D5FC7">
        <w:rPr>
          <w:b/>
          <w:bCs/>
          <w:color w:val="FF0000"/>
          <w:sz w:val="22"/>
          <w:szCs w:val="22"/>
        </w:rPr>
        <w:t xml:space="preserve">This is a working document that will be regularly reviewed as more data becomes available. </w:t>
      </w:r>
    </w:p>
    <w:p w14:paraId="2FF8C02B" w14:textId="77777777" w:rsidR="00F616D3" w:rsidRPr="006D5FC7" w:rsidRDefault="00F616D3" w:rsidP="00F616D3">
      <w:pPr>
        <w:pStyle w:val="Bodycopy"/>
        <w:rPr>
          <w:sz w:val="22"/>
          <w:szCs w:val="22"/>
        </w:rPr>
      </w:pPr>
    </w:p>
    <w:p w14:paraId="74F10F47" w14:textId="09FF6CDB" w:rsidR="00F616D3" w:rsidRPr="006D5FC7" w:rsidRDefault="00F616D3" w:rsidP="00F616D3">
      <w:pPr>
        <w:pStyle w:val="Bodycopy"/>
        <w:ind w:hanging="709"/>
        <w:rPr>
          <w:b/>
          <w:bCs/>
          <w:sz w:val="22"/>
          <w:szCs w:val="22"/>
        </w:rPr>
      </w:pPr>
      <w:r w:rsidRPr="5EC13377">
        <w:rPr>
          <w:b/>
          <w:bCs/>
          <w:sz w:val="22"/>
          <w:szCs w:val="22"/>
        </w:rPr>
        <w:t xml:space="preserve">Version number: </w:t>
      </w:r>
      <w:r w:rsidR="13316A08" w:rsidRPr="5EC13377">
        <w:rPr>
          <w:b/>
          <w:bCs/>
          <w:sz w:val="22"/>
          <w:szCs w:val="22"/>
        </w:rPr>
        <w:t>1</w:t>
      </w:r>
      <w:r w:rsidRPr="5EC13377">
        <w:rPr>
          <w:b/>
          <w:bCs/>
          <w:sz w:val="22"/>
          <w:szCs w:val="22"/>
        </w:rPr>
        <w:t xml:space="preserve">.0 </w:t>
      </w:r>
    </w:p>
    <w:p w14:paraId="5EE418F1" w14:textId="3A051385" w:rsidR="00F616D3" w:rsidRDefault="00F616D3" w:rsidP="00F616D3">
      <w:pPr>
        <w:pStyle w:val="Bodycopy"/>
        <w:ind w:hanging="709"/>
        <w:rPr>
          <w:b/>
          <w:bCs/>
          <w:sz w:val="22"/>
          <w:szCs w:val="22"/>
        </w:rPr>
      </w:pPr>
      <w:r w:rsidRPr="5A0718DA">
        <w:rPr>
          <w:b/>
          <w:bCs/>
          <w:sz w:val="22"/>
          <w:szCs w:val="22"/>
        </w:rPr>
        <w:t xml:space="preserve">Date published: </w:t>
      </w:r>
      <w:r w:rsidR="1026DA95" w:rsidRPr="5A0718DA">
        <w:rPr>
          <w:b/>
          <w:bCs/>
          <w:sz w:val="22"/>
          <w:szCs w:val="22"/>
        </w:rPr>
        <w:t>08</w:t>
      </w:r>
      <w:r w:rsidRPr="5A0718DA">
        <w:rPr>
          <w:b/>
          <w:bCs/>
          <w:sz w:val="22"/>
          <w:szCs w:val="22"/>
        </w:rPr>
        <w:t>.</w:t>
      </w:r>
      <w:r w:rsidR="01C64701" w:rsidRPr="5A0718DA">
        <w:rPr>
          <w:b/>
          <w:bCs/>
          <w:sz w:val="22"/>
          <w:szCs w:val="22"/>
        </w:rPr>
        <w:t>02</w:t>
      </w:r>
      <w:r w:rsidRPr="5A0718DA">
        <w:rPr>
          <w:b/>
          <w:bCs/>
          <w:sz w:val="22"/>
          <w:szCs w:val="22"/>
        </w:rPr>
        <w:t>.2</w:t>
      </w:r>
      <w:r w:rsidR="3086DE41" w:rsidRPr="5A0718DA">
        <w:rPr>
          <w:b/>
          <w:bCs/>
          <w:sz w:val="22"/>
          <w:szCs w:val="22"/>
        </w:rPr>
        <w:t>2</w:t>
      </w:r>
    </w:p>
    <w:p w14:paraId="2BA65CDE" w14:textId="67D32462" w:rsidR="2BD41A0B" w:rsidRDefault="2BD41A0B" w:rsidP="21B2401D">
      <w:pPr>
        <w:rPr>
          <w:rFonts w:ascii="Arial" w:eastAsia="Arial" w:hAnsi="Arial" w:cs="Arial"/>
          <w:color w:val="237681"/>
          <w:sz w:val="22"/>
          <w:szCs w:val="22"/>
        </w:rPr>
      </w:pPr>
    </w:p>
    <w:p w14:paraId="2449CDC3" w14:textId="3BAD3EA3" w:rsidR="1279AAED" w:rsidRDefault="1279AAED" w:rsidP="6C22AD71">
      <w:pPr>
        <w:spacing w:line="259" w:lineRule="auto"/>
      </w:pPr>
    </w:p>
    <w:p w14:paraId="60E8D2EB" w14:textId="128DA85E" w:rsidR="19E74784" w:rsidRDefault="05D3C8E4" w:rsidP="21B2401D">
      <w:r w:rsidRPr="21B2401D">
        <w:rPr>
          <w:rFonts w:ascii="Arial" w:eastAsia="Arial" w:hAnsi="Arial" w:cs="Arial"/>
          <w:b/>
          <w:bCs/>
          <w:sz w:val="22"/>
          <w:szCs w:val="22"/>
        </w:rPr>
        <w:t xml:space="preserve">Recommended </w:t>
      </w:r>
      <w:r w:rsidRPr="21B2401D">
        <w:rPr>
          <w:rFonts w:ascii="Arial" w:eastAsia="Arial" w:hAnsi="Arial" w:cs="Arial"/>
          <w:b/>
          <w:bCs/>
          <w:color w:val="007A90"/>
          <w:sz w:val="22"/>
          <w:szCs w:val="22"/>
        </w:rPr>
        <w:t xml:space="preserve">Quality Indicators </w:t>
      </w:r>
      <w:r w:rsidRPr="21B2401D">
        <w:rPr>
          <w:rFonts w:ascii="Arial" w:eastAsia="Arial" w:hAnsi="Arial" w:cs="Arial"/>
          <w:b/>
          <w:bCs/>
          <w:sz w:val="22"/>
          <w:szCs w:val="22"/>
        </w:rPr>
        <w:t>for IPS services to capture.</w:t>
      </w:r>
    </w:p>
    <w:p w14:paraId="02E39838" w14:textId="7E378939" w:rsidR="19E74784" w:rsidRDefault="19E74784" w:rsidP="21B2401D">
      <w:pPr>
        <w:spacing w:line="259" w:lineRule="auto"/>
      </w:pPr>
    </w:p>
    <w:tbl>
      <w:tblPr>
        <w:tblStyle w:val="TableGrid"/>
        <w:tblW w:w="0" w:type="auto"/>
        <w:tblLook w:val="04A0" w:firstRow="1" w:lastRow="0" w:firstColumn="1" w:lastColumn="0" w:noHBand="0" w:noVBand="1"/>
      </w:tblPr>
      <w:tblGrid>
        <w:gridCol w:w="2475"/>
        <w:gridCol w:w="4368"/>
        <w:gridCol w:w="2131"/>
      </w:tblGrid>
      <w:tr w:rsidR="21B2401D" w14:paraId="208B6093" w14:textId="77777777" w:rsidTr="3D0C76C0">
        <w:trPr>
          <w:trHeight w:val="615"/>
        </w:trPr>
        <w:tc>
          <w:tcPr>
            <w:tcW w:w="2486"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007B90" w:themeFill="accent2"/>
            <w:vAlign w:val="center"/>
          </w:tcPr>
          <w:p w14:paraId="7EAB52C3" w14:textId="08E9DB64" w:rsidR="21B2401D" w:rsidRDefault="21B2401D" w:rsidP="21B2401D">
            <w:pPr>
              <w:spacing w:line="257" w:lineRule="auto"/>
            </w:pPr>
            <w:r w:rsidRPr="21B2401D">
              <w:rPr>
                <w:rFonts w:ascii="Arial" w:eastAsia="Arial" w:hAnsi="Arial" w:cs="Arial"/>
                <w:b/>
                <w:bCs/>
                <w:color w:val="FFFFFF" w:themeColor="background1"/>
              </w:rPr>
              <w:t>Quality indicator</w:t>
            </w:r>
          </w:p>
        </w:tc>
        <w:tc>
          <w:tcPr>
            <w:tcW w:w="4394"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007B90" w:themeFill="accent2"/>
            <w:vAlign w:val="center"/>
          </w:tcPr>
          <w:p w14:paraId="781B8994" w14:textId="23BE585A" w:rsidR="21B2401D" w:rsidRDefault="21B2401D" w:rsidP="21B2401D">
            <w:pPr>
              <w:spacing w:line="257" w:lineRule="auto"/>
            </w:pPr>
            <w:r w:rsidRPr="21B2401D">
              <w:rPr>
                <w:rFonts w:ascii="Arial" w:eastAsia="Arial" w:hAnsi="Arial" w:cs="Arial"/>
                <w:b/>
                <w:bCs/>
                <w:color w:val="FFFFFF" w:themeColor="background1"/>
              </w:rPr>
              <w:t>Definition and rationale</w:t>
            </w:r>
          </w:p>
        </w:tc>
        <w:tc>
          <w:tcPr>
            <w:tcW w:w="2134"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007B90" w:themeFill="accent2"/>
          </w:tcPr>
          <w:p w14:paraId="273D5DDB" w14:textId="2168C500" w:rsidR="21B2401D" w:rsidRDefault="21B2401D" w:rsidP="21B2401D">
            <w:pPr>
              <w:spacing w:line="257" w:lineRule="auto"/>
            </w:pPr>
            <w:r w:rsidRPr="21B2401D">
              <w:rPr>
                <w:rFonts w:ascii="Arial" w:eastAsia="Arial" w:hAnsi="Arial" w:cs="Arial"/>
                <w:color w:val="FFFFFF" w:themeColor="background1"/>
              </w:rPr>
              <w:t xml:space="preserve"> </w:t>
            </w:r>
          </w:p>
          <w:p w14:paraId="10CB2510" w14:textId="552081F3" w:rsidR="21B2401D" w:rsidRDefault="21B2401D" w:rsidP="21B2401D">
            <w:pPr>
              <w:spacing w:line="257" w:lineRule="auto"/>
            </w:pPr>
            <w:r w:rsidRPr="21B2401D">
              <w:rPr>
                <w:rFonts w:ascii="Arial" w:eastAsia="Arial" w:hAnsi="Arial" w:cs="Arial"/>
                <w:b/>
                <w:bCs/>
                <w:color w:val="FFFFFF" w:themeColor="background1"/>
              </w:rPr>
              <w:t>Recommended evidence</w:t>
            </w:r>
          </w:p>
        </w:tc>
      </w:tr>
      <w:tr w:rsidR="21B2401D" w14:paraId="57A298C6" w14:textId="77777777" w:rsidTr="3D0C76C0">
        <w:trPr>
          <w:trHeight w:val="870"/>
        </w:trPr>
        <w:tc>
          <w:tcPr>
            <w:tcW w:w="2486"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14:paraId="4961240C" w14:textId="25A7C316" w:rsidR="21B2401D" w:rsidRDefault="21B2401D" w:rsidP="21B2401D">
            <w:pPr>
              <w:spacing w:line="257" w:lineRule="auto"/>
            </w:pPr>
            <w:r w:rsidRPr="21B2401D">
              <w:rPr>
                <w:rFonts w:ascii="Arial" w:eastAsia="Arial" w:hAnsi="Arial" w:cs="Arial"/>
              </w:rPr>
              <w:t>Fidelity Reviews</w:t>
            </w:r>
          </w:p>
        </w:tc>
        <w:tc>
          <w:tcPr>
            <w:tcW w:w="4394"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14:paraId="0DE76139" w14:textId="74FFC85B" w:rsidR="21B2401D" w:rsidRDefault="21B2401D" w:rsidP="21B2401D">
            <w:pPr>
              <w:spacing w:line="257" w:lineRule="auto"/>
            </w:pPr>
            <w:r w:rsidRPr="21B2401D">
              <w:rPr>
                <w:rFonts w:ascii="Arial" w:eastAsia="Arial" w:hAnsi="Arial" w:cs="Arial"/>
              </w:rPr>
              <w:t xml:space="preserve">External and internal fidelity reviews completed. </w:t>
            </w:r>
          </w:p>
          <w:p w14:paraId="20D02A52" w14:textId="23B7258D" w:rsidR="21B2401D" w:rsidRDefault="21B2401D" w:rsidP="21B2401D">
            <w:pPr>
              <w:spacing w:line="257" w:lineRule="auto"/>
              <w:rPr>
                <w:rFonts w:ascii="Arial" w:eastAsia="Arial" w:hAnsi="Arial" w:cs="Arial"/>
              </w:rPr>
            </w:pPr>
          </w:p>
          <w:p w14:paraId="1C01EA49" w14:textId="47B6F078" w:rsidR="21B2401D" w:rsidRDefault="21B2401D" w:rsidP="21B2401D">
            <w:pPr>
              <w:spacing w:line="257" w:lineRule="auto"/>
            </w:pPr>
            <w:r w:rsidRPr="21B2401D">
              <w:rPr>
                <w:rFonts w:ascii="Arial" w:eastAsia="Arial" w:hAnsi="Arial" w:cs="Arial"/>
              </w:rPr>
              <w:t xml:space="preserve">Services should be aiming for a minimum score of </w:t>
            </w:r>
            <w:r w:rsidRPr="21B2401D">
              <w:rPr>
                <w:rFonts w:ascii="Arial" w:eastAsia="Arial" w:hAnsi="Arial" w:cs="Arial"/>
                <w:b/>
                <w:bCs/>
              </w:rPr>
              <w:t>100</w:t>
            </w:r>
          </w:p>
          <w:p w14:paraId="26597AD4" w14:textId="169A16E7" w:rsidR="21B2401D" w:rsidRDefault="21B2401D" w:rsidP="21B2401D">
            <w:pPr>
              <w:spacing w:line="257" w:lineRule="auto"/>
            </w:pPr>
            <w:r w:rsidRPr="21B2401D">
              <w:rPr>
                <w:rFonts w:ascii="Arial" w:eastAsia="Arial" w:hAnsi="Arial" w:cs="Arial"/>
              </w:rPr>
              <w:t xml:space="preserve"> </w:t>
            </w:r>
          </w:p>
        </w:tc>
        <w:tc>
          <w:tcPr>
            <w:tcW w:w="2134"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14:paraId="67D693E6" w14:textId="46C03502" w:rsidR="21B2401D" w:rsidRDefault="21B2401D" w:rsidP="21B2401D">
            <w:pPr>
              <w:spacing w:line="257" w:lineRule="auto"/>
            </w:pPr>
            <w:r w:rsidRPr="21B2401D">
              <w:rPr>
                <w:rFonts w:ascii="Arial" w:eastAsia="Arial" w:hAnsi="Arial" w:cs="Arial"/>
              </w:rPr>
              <w:t>Evidence of self and external reviews</w:t>
            </w:r>
          </w:p>
          <w:p w14:paraId="3A23DCEA" w14:textId="14C97026" w:rsidR="21B2401D" w:rsidRDefault="21B2401D" w:rsidP="21B2401D">
            <w:pPr>
              <w:spacing w:line="257" w:lineRule="auto"/>
            </w:pPr>
            <w:r w:rsidRPr="21B2401D">
              <w:rPr>
                <w:rFonts w:ascii="Arial" w:eastAsia="Arial" w:hAnsi="Arial" w:cs="Arial"/>
              </w:rPr>
              <w:t xml:space="preserve"> </w:t>
            </w:r>
          </w:p>
          <w:p w14:paraId="40BE0398" w14:textId="088FCB64" w:rsidR="21B2401D" w:rsidRDefault="21B2401D" w:rsidP="21B2401D">
            <w:pPr>
              <w:spacing w:line="257" w:lineRule="auto"/>
            </w:pPr>
            <w:r w:rsidRPr="21B2401D">
              <w:rPr>
                <w:rFonts w:ascii="Arial" w:eastAsia="Arial" w:hAnsi="Arial" w:cs="Arial"/>
              </w:rPr>
              <w:t>Evidence of active Fidelity Action Plans</w:t>
            </w:r>
          </w:p>
        </w:tc>
      </w:tr>
      <w:tr w:rsidR="21B2401D" w14:paraId="20895D49" w14:textId="77777777" w:rsidTr="3D0C76C0">
        <w:trPr>
          <w:trHeight w:val="870"/>
        </w:trPr>
        <w:tc>
          <w:tcPr>
            <w:tcW w:w="2486"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14:paraId="486F8B93" w14:textId="2D4F7F17" w:rsidR="21B2401D" w:rsidRDefault="21B2401D" w:rsidP="21B2401D">
            <w:pPr>
              <w:spacing w:line="257" w:lineRule="auto"/>
            </w:pPr>
            <w:r w:rsidRPr="21B2401D">
              <w:rPr>
                <w:rFonts w:ascii="Arial" w:eastAsia="Arial" w:hAnsi="Arial" w:cs="Arial"/>
              </w:rPr>
              <w:t>Service user satisfaction measures and co-production</w:t>
            </w:r>
          </w:p>
        </w:tc>
        <w:tc>
          <w:tcPr>
            <w:tcW w:w="4394"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14:paraId="20277D6D" w14:textId="54FE188E" w:rsidR="21B2401D" w:rsidRDefault="21B2401D" w:rsidP="21B2401D">
            <w:pPr>
              <w:spacing w:line="257" w:lineRule="auto"/>
              <w:rPr>
                <w:rFonts w:ascii="Arial" w:eastAsia="Arial" w:hAnsi="Arial" w:cs="Arial"/>
                <w:vertAlign w:val="superscript"/>
              </w:rPr>
            </w:pPr>
            <w:r w:rsidRPr="21B2401D">
              <w:rPr>
                <w:rFonts w:ascii="Arial" w:eastAsia="Arial" w:hAnsi="Arial" w:cs="Arial"/>
              </w:rPr>
              <w:t>Can be tracked via regular satisfaction surveys, feedback meetings, co-production</w:t>
            </w:r>
          </w:p>
          <w:p w14:paraId="25933F34" w14:textId="38C99A82" w:rsidR="21B2401D" w:rsidRDefault="21B2401D" w:rsidP="21B2401D">
            <w:pPr>
              <w:spacing w:line="257" w:lineRule="auto"/>
              <w:rPr>
                <w:rFonts w:ascii="Arial" w:eastAsia="Arial" w:hAnsi="Arial" w:cs="Arial"/>
              </w:rPr>
            </w:pPr>
          </w:p>
          <w:p w14:paraId="5BD723D4" w14:textId="7A2C5449" w:rsidR="21B2401D" w:rsidRDefault="21B2401D" w:rsidP="21B2401D">
            <w:pPr>
              <w:spacing w:line="257" w:lineRule="auto"/>
              <w:rPr>
                <w:rFonts w:ascii="Arial" w:eastAsia="Arial" w:hAnsi="Arial" w:cs="Arial"/>
              </w:rPr>
            </w:pPr>
            <w:r w:rsidRPr="21B2401D">
              <w:rPr>
                <w:rFonts w:ascii="Arial" w:eastAsia="Arial" w:hAnsi="Arial" w:cs="Arial"/>
              </w:rPr>
              <w:t xml:space="preserve">Example satisfaction surveys can be found </w:t>
            </w:r>
            <w:hyperlink r:id="rId11" w:history="1">
              <w:r w:rsidRPr="00320CFC">
                <w:rPr>
                  <w:rStyle w:val="Hyperlink"/>
                  <w:rFonts w:ascii="Arial" w:eastAsia="Arial" w:hAnsi="Arial" w:cs="Arial"/>
                  <w:sz w:val="24"/>
                  <w:szCs w:val="24"/>
                </w:rPr>
                <w:t>here</w:t>
              </w:r>
            </w:hyperlink>
            <w:r w:rsidRPr="21B2401D">
              <w:rPr>
                <w:rFonts w:ascii="Arial" w:eastAsia="Arial" w:hAnsi="Arial" w:cs="Arial"/>
              </w:rPr>
              <w:t xml:space="preserve"> </w:t>
            </w:r>
          </w:p>
        </w:tc>
        <w:tc>
          <w:tcPr>
            <w:tcW w:w="2134"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14:paraId="02D2F7BC" w14:textId="7D7C53F9" w:rsidR="21B2401D" w:rsidRDefault="21B2401D" w:rsidP="21B2401D">
            <w:pPr>
              <w:spacing w:line="257" w:lineRule="auto"/>
            </w:pPr>
            <w:r w:rsidRPr="21B2401D">
              <w:rPr>
                <w:rFonts w:ascii="Arial" w:eastAsia="Arial" w:hAnsi="Arial" w:cs="Arial"/>
              </w:rPr>
              <w:t xml:space="preserve">Results of surveys, </w:t>
            </w:r>
            <w:proofErr w:type="gramStart"/>
            <w:r w:rsidRPr="21B2401D">
              <w:rPr>
                <w:rFonts w:ascii="Arial" w:eastAsia="Arial" w:hAnsi="Arial" w:cs="Arial"/>
              </w:rPr>
              <w:t>meetings</w:t>
            </w:r>
            <w:proofErr w:type="gramEnd"/>
            <w:r w:rsidRPr="21B2401D">
              <w:rPr>
                <w:rFonts w:ascii="Arial" w:eastAsia="Arial" w:hAnsi="Arial" w:cs="Arial"/>
              </w:rPr>
              <w:t xml:space="preserve"> and co-production activities</w:t>
            </w:r>
          </w:p>
        </w:tc>
      </w:tr>
      <w:tr w:rsidR="21B2401D" w14:paraId="2E997939" w14:textId="77777777" w:rsidTr="3D0C76C0">
        <w:trPr>
          <w:trHeight w:val="870"/>
        </w:trPr>
        <w:tc>
          <w:tcPr>
            <w:tcW w:w="2486"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14:paraId="0BE19C66" w14:textId="17CD5492" w:rsidR="21B2401D" w:rsidRDefault="21B2401D" w:rsidP="21B2401D">
            <w:pPr>
              <w:spacing w:line="257" w:lineRule="auto"/>
            </w:pPr>
            <w:r w:rsidRPr="21B2401D">
              <w:rPr>
                <w:rFonts w:ascii="Arial" w:eastAsia="Arial" w:hAnsi="Arial" w:cs="Arial"/>
              </w:rPr>
              <w:t>Clinical team feedback</w:t>
            </w:r>
          </w:p>
        </w:tc>
        <w:tc>
          <w:tcPr>
            <w:tcW w:w="4394"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14:paraId="635579B0" w14:textId="2D65D18A" w:rsidR="21B2401D" w:rsidRDefault="21B2401D" w:rsidP="21B2401D">
            <w:pPr>
              <w:spacing w:line="257" w:lineRule="auto"/>
            </w:pPr>
            <w:r w:rsidRPr="21B2401D">
              <w:rPr>
                <w:rFonts w:ascii="Arial" w:eastAsia="Arial" w:hAnsi="Arial" w:cs="Arial"/>
              </w:rPr>
              <w:t xml:space="preserve">Collected via surveys, informal feedback, co-produced developments, joint </w:t>
            </w:r>
            <w:proofErr w:type="gramStart"/>
            <w:r w:rsidRPr="21B2401D">
              <w:rPr>
                <w:rFonts w:ascii="Arial" w:eastAsia="Arial" w:hAnsi="Arial" w:cs="Arial"/>
              </w:rPr>
              <w:t>meetings</w:t>
            </w:r>
            <w:proofErr w:type="gramEnd"/>
            <w:r w:rsidRPr="21B2401D">
              <w:rPr>
                <w:rFonts w:ascii="Arial" w:eastAsia="Arial" w:hAnsi="Arial" w:cs="Arial"/>
              </w:rPr>
              <w:t xml:space="preserve"> and Away Days</w:t>
            </w:r>
          </w:p>
          <w:p w14:paraId="28D71471" w14:textId="325D8B2A" w:rsidR="21B2401D" w:rsidRDefault="21B2401D" w:rsidP="21B2401D">
            <w:pPr>
              <w:spacing w:line="257" w:lineRule="auto"/>
              <w:rPr>
                <w:rFonts w:ascii="Arial" w:eastAsia="Arial" w:hAnsi="Arial" w:cs="Arial"/>
              </w:rPr>
            </w:pPr>
          </w:p>
          <w:p w14:paraId="7DF781AD" w14:textId="37F86764" w:rsidR="21B2401D" w:rsidRDefault="21B2401D" w:rsidP="21B2401D">
            <w:pPr>
              <w:spacing w:line="257" w:lineRule="auto"/>
              <w:rPr>
                <w:rFonts w:ascii="Arial" w:eastAsia="Arial" w:hAnsi="Arial" w:cs="Arial"/>
              </w:rPr>
            </w:pPr>
            <w:r w:rsidRPr="21B2401D">
              <w:rPr>
                <w:rFonts w:ascii="Arial" w:eastAsia="Arial" w:hAnsi="Arial" w:cs="Arial"/>
              </w:rPr>
              <w:t>Example survey for clinica</w:t>
            </w:r>
            <w:r w:rsidR="1D2B7A6E" w:rsidRPr="21B2401D">
              <w:rPr>
                <w:rFonts w:ascii="Arial" w:eastAsia="Arial" w:hAnsi="Arial" w:cs="Arial"/>
              </w:rPr>
              <w:t>l</w:t>
            </w:r>
            <w:r w:rsidRPr="21B2401D">
              <w:rPr>
                <w:rFonts w:ascii="Arial" w:eastAsia="Arial" w:hAnsi="Arial" w:cs="Arial"/>
              </w:rPr>
              <w:t xml:space="preserve"> teams can be found </w:t>
            </w:r>
            <w:hyperlink r:id="rId12" w:history="1">
              <w:r w:rsidRPr="006E7295">
                <w:rPr>
                  <w:rStyle w:val="Hyperlink"/>
                  <w:rFonts w:ascii="Arial" w:eastAsia="Arial" w:hAnsi="Arial" w:cs="Arial"/>
                  <w:sz w:val="24"/>
                  <w:szCs w:val="24"/>
                </w:rPr>
                <w:t>here</w:t>
              </w:r>
            </w:hyperlink>
          </w:p>
        </w:tc>
        <w:tc>
          <w:tcPr>
            <w:tcW w:w="2134"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14:paraId="143DE683" w14:textId="5AA4D1CF" w:rsidR="21B2401D" w:rsidRDefault="21B2401D" w:rsidP="21B2401D">
            <w:pPr>
              <w:spacing w:line="257" w:lineRule="auto"/>
            </w:pPr>
            <w:r w:rsidRPr="21B2401D">
              <w:rPr>
                <w:rFonts w:ascii="Arial" w:eastAsia="Arial" w:hAnsi="Arial" w:cs="Arial"/>
              </w:rPr>
              <w:t>Recorded via the service data tool, and caseload summaries</w:t>
            </w:r>
          </w:p>
        </w:tc>
      </w:tr>
      <w:tr w:rsidR="21B2401D" w14:paraId="176E1B83" w14:textId="77777777" w:rsidTr="3D0C76C0">
        <w:trPr>
          <w:trHeight w:val="870"/>
        </w:trPr>
        <w:tc>
          <w:tcPr>
            <w:tcW w:w="2486"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14:paraId="214C5737" w14:textId="4E63A524" w:rsidR="21B2401D" w:rsidRDefault="21B2401D" w:rsidP="21B2401D">
            <w:pPr>
              <w:spacing w:line="257" w:lineRule="auto"/>
            </w:pPr>
            <w:r w:rsidRPr="21B2401D">
              <w:rPr>
                <w:rFonts w:ascii="Arial" w:eastAsia="Arial" w:hAnsi="Arial" w:cs="Arial"/>
              </w:rPr>
              <w:t>Employer feedback</w:t>
            </w:r>
          </w:p>
        </w:tc>
        <w:tc>
          <w:tcPr>
            <w:tcW w:w="4394"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14:paraId="74D5813F" w14:textId="408B30F8" w:rsidR="21B2401D" w:rsidRDefault="21B2401D" w:rsidP="21B2401D">
            <w:pPr>
              <w:spacing w:line="257" w:lineRule="auto"/>
            </w:pPr>
            <w:r w:rsidRPr="21B2401D">
              <w:rPr>
                <w:rFonts w:ascii="Arial" w:eastAsia="Arial" w:hAnsi="Arial" w:cs="Arial"/>
              </w:rPr>
              <w:t>Annual and informal surveys</w:t>
            </w:r>
          </w:p>
        </w:tc>
        <w:tc>
          <w:tcPr>
            <w:tcW w:w="2134"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14:paraId="1CE9A5BC" w14:textId="7ED3EACA" w:rsidR="21B2401D" w:rsidRDefault="21B2401D" w:rsidP="21B2401D">
            <w:pPr>
              <w:spacing w:line="257" w:lineRule="auto"/>
            </w:pPr>
            <w:r w:rsidRPr="21B2401D">
              <w:rPr>
                <w:rFonts w:ascii="Arial" w:eastAsia="Arial" w:hAnsi="Arial" w:cs="Arial"/>
              </w:rPr>
              <w:t>Results of surveys</w:t>
            </w:r>
          </w:p>
        </w:tc>
      </w:tr>
      <w:tr w:rsidR="21B2401D" w14:paraId="3F1AF6B7" w14:textId="77777777" w:rsidTr="3D0C76C0">
        <w:trPr>
          <w:trHeight w:val="870"/>
        </w:trPr>
        <w:tc>
          <w:tcPr>
            <w:tcW w:w="2486"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14:paraId="44A17AF5" w14:textId="53694864" w:rsidR="21B2401D" w:rsidRDefault="21B2401D" w:rsidP="21B2401D">
            <w:pPr>
              <w:spacing w:line="257" w:lineRule="auto"/>
            </w:pPr>
            <w:r w:rsidRPr="21B2401D">
              <w:rPr>
                <w:rFonts w:ascii="Arial" w:eastAsia="Arial" w:hAnsi="Arial" w:cs="Arial"/>
              </w:rPr>
              <w:t>Staff surveys</w:t>
            </w:r>
          </w:p>
        </w:tc>
        <w:tc>
          <w:tcPr>
            <w:tcW w:w="4394"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14:paraId="1EDC2659" w14:textId="7D16A0DA" w:rsidR="21B2401D" w:rsidRDefault="21B2401D" w:rsidP="21B2401D">
            <w:pPr>
              <w:spacing w:line="257" w:lineRule="auto"/>
            </w:pPr>
            <w:r w:rsidRPr="21B2401D">
              <w:rPr>
                <w:rFonts w:ascii="Arial" w:eastAsia="Arial" w:hAnsi="Arial" w:cs="Arial"/>
              </w:rPr>
              <w:t>Evidence of staff engagement and involvement in service developments</w:t>
            </w:r>
          </w:p>
        </w:tc>
        <w:tc>
          <w:tcPr>
            <w:tcW w:w="2134"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14:paraId="6EA279C5" w14:textId="1F709F52" w:rsidR="21B2401D" w:rsidRDefault="21B2401D" w:rsidP="21B2401D">
            <w:pPr>
              <w:spacing w:line="257" w:lineRule="auto"/>
            </w:pPr>
            <w:r w:rsidRPr="21B2401D">
              <w:rPr>
                <w:rFonts w:ascii="Arial" w:eastAsia="Arial" w:hAnsi="Arial" w:cs="Arial"/>
              </w:rPr>
              <w:t>Write ups from staff engagement strategies</w:t>
            </w:r>
          </w:p>
        </w:tc>
      </w:tr>
      <w:tr w:rsidR="6EAE03F9" w14:paraId="08042262" w14:textId="77777777" w:rsidTr="3D0C76C0">
        <w:trPr>
          <w:trHeight w:val="870"/>
        </w:trPr>
        <w:tc>
          <w:tcPr>
            <w:tcW w:w="2486"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14:paraId="39EE3305" w14:textId="70F4A5AF" w:rsidR="0D4FF2D6" w:rsidRDefault="0D4FF2D6" w:rsidP="6EAE03F9">
            <w:pPr>
              <w:spacing w:line="257" w:lineRule="auto"/>
              <w:rPr>
                <w:rFonts w:ascii="Arial" w:eastAsia="Arial" w:hAnsi="Arial" w:cs="Arial"/>
              </w:rPr>
            </w:pPr>
            <w:r w:rsidRPr="6EAE03F9">
              <w:rPr>
                <w:rFonts w:ascii="Arial" w:eastAsia="Arial" w:hAnsi="Arial" w:cs="Arial"/>
              </w:rPr>
              <w:t>EDI improvement strategies</w:t>
            </w:r>
          </w:p>
        </w:tc>
        <w:tc>
          <w:tcPr>
            <w:tcW w:w="4394"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14:paraId="3F21CA29" w14:textId="3BB5DDEB" w:rsidR="0D4FF2D6" w:rsidRDefault="0D4FF2D6" w:rsidP="6EAE03F9">
            <w:pPr>
              <w:spacing w:line="257" w:lineRule="auto"/>
              <w:rPr>
                <w:rFonts w:ascii="Arial" w:eastAsia="Arial" w:hAnsi="Arial" w:cs="Arial"/>
              </w:rPr>
            </w:pPr>
            <w:r w:rsidRPr="6EAE03F9">
              <w:rPr>
                <w:rFonts w:ascii="Arial" w:eastAsia="Arial" w:hAnsi="Arial" w:cs="Arial"/>
              </w:rPr>
              <w:t>EDI assessment of service and a strategy/method to address gaps</w:t>
            </w:r>
          </w:p>
        </w:tc>
        <w:tc>
          <w:tcPr>
            <w:tcW w:w="2134"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14:paraId="59EFB7E2" w14:textId="1133C953" w:rsidR="6EAE03F9" w:rsidRDefault="0D4FF2D6" w:rsidP="3D0C76C0">
            <w:pPr>
              <w:spacing w:line="257" w:lineRule="auto"/>
              <w:rPr>
                <w:rFonts w:eastAsiaTheme="minorEastAsia"/>
              </w:rPr>
            </w:pPr>
            <w:r w:rsidRPr="3D0C76C0">
              <w:rPr>
                <w:rFonts w:eastAsiaTheme="minorEastAsia"/>
              </w:rPr>
              <w:t>Local and clinical demographics and outcome data</w:t>
            </w:r>
          </w:p>
          <w:p w14:paraId="179CA11F" w14:textId="0AD6EAF1" w:rsidR="6EAE03F9" w:rsidRDefault="6EAE03F9" w:rsidP="3D0C76C0">
            <w:pPr>
              <w:spacing w:line="257" w:lineRule="auto"/>
              <w:rPr>
                <w:rFonts w:eastAsiaTheme="minorEastAsia"/>
              </w:rPr>
            </w:pPr>
          </w:p>
          <w:p w14:paraId="394C3996" w14:textId="5F4DA115" w:rsidR="6EAE03F9" w:rsidRDefault="0D4FF2D6" w:rsidP="3D0C76C0">
            <w:pPr>
              <w:spacing w:line="257" w:lineRule="auto"/>
              <w:rPr>
                <w:rFonts w:eastAsiaTheme="minorEastAsia"/>
              </w:rPr>
            </w:pPr>
            <w:r w:rsidRPr="3D0C76C0">
              <w:rPr>
                <w:rFonts w:eastAsiaTheme="minorEastAsia"/>
              </w:rPr>
              <w:t>A clear process for sharing data</w:t>
            </w:r>
          </w:p>
          <w:p w14:paraId="4BE94290" w14:textId="3D3FAAC6" w:rsidR="6EAE03F9" w:rsidRDefault="6EAE03F9" w:rsidP="3D0C76C0">
            <w:pPr>
              <w:spacing w:line="257" w:lineRule="auto"/>
              <w:rPr>
                <w:rFonts w:eastAsiaTheme="minorEastAsia"/>
              </w:rPr>
            </w:pPr>
          </w:p>
          <w:p w14:paraId="4EDDEE92" w14:textId="3D2B5657" w:rsidR="6EAE03F9" w:rsidRDefault="0D4FF2D6" w:rsidP="3D0C76C0">
            <w:pPr>
              <w:spacing w:line="257" w:lineRule="auto"/>
              <w:rPr>
                <w:rFonts w:eastAsiaTheme="minorEastAsia"/>
              </w:rPr>
            </w:pPr>
            <w:r w:rsidRPr="3D0C76C0">
              <w:rPr>
                <w:rFonts w:eastAsiaTheme="minorEastAsia"/>
              </w:rPr>
              <w:t>Inclusion on induction and training strategy</w:t>
            </w:r>
          </w:p>
          <w:p w14:paraId="34C837FA" w14:textId="75BD7830" w:rsidR="6EAE03F9" w:rsidRDefault="6EAE03F9" w:rsidP="3D0C76C0">
            <w:pPr>
              <w:spacing w:line="257" w:lineRule="auto"/>
              <w:rPr>
                <w:rFonts w:ascii="Arial" w:eastAsia="Arial" w:hAnsi="Arial" w:cs="Arial"/>
              </w:rPr>
            </w:pPr>
          </w:p>
        </w:tc>
      </w:tr>
      <w:tr w:rsidR="21B2401D" w14:paraId="3A698797" w14:textId="77777777" w:rsidTr="3D0C76C0">
        <w:trPr>
          <w:trHeight w:val="870"/>
        </w:trPr>
        <w:tc>
          <w:tcPr>
            <w:tcW w:w="2486"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14:paraId="751B577B" w14:textId="4AB967B0" w:rsidR="485FF48E" w:rsidRDefault="485FF48E" w:rsidP="21B2401D">
            <w:pPr>
              <w:rPr>
                <w:rFonts w:ascii="Arial" w:eastAsia="Arial" w:hAnsi="Arial" w:cs="Arial"/>
                <w:color w:val="000000" w:themeColor="text1"/>
              </w:rPr>
            </w:pPr>
            <w:r w:rsidRPr="21B2401D">
              <w:rPr>
                <w:rFonts w:ascii="Arial" w:eastAsia="Arial" w:hAnsi="Arial" w:cs="Arial"/>
                <w:color w:val="000000" w:themeColor="text1"/>
              </w:rPr>
              <w:lastRenderedPageBreak/>
              <w:t>Collecting employment recovery stories written by clients</w:t>
            </w:r>
          </w:p>
        </w:tc>
        <w:tc>
          <w:tcPr>
            <w:tcW w:w="4394"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14:paraId="6C6832BC" w14:textId="69753C5D" w:rsidR="485FF48E" w:rsidRDefault="485FF48E" w:rsidP="21B2401D">
            <w:pPr>
              <w:rPr>
                <w:rFonts w:ascii="Arial" w:eastAsia="Arial" w:hAnsi="Arial" w:cs="Arial"/>
                <w:color w:val="000000" w:themeColor="text1"/>
              </w:rPr>
            </w:pPr>
            <w:r w:rsidRPr="21B2401D">
              <w:rPr>
                <w:rFonts w:ascii="Arial" w:eastAsia="Arial" w:hAnsi="Arial" w:cs="Arial"/>
                <w:color w:val="000000" w:themeColor="text1"/>
              </w:rPr>
              <w:t xml:space="preserve">Collecting written and in person recovery stories is a core part of IPS fidelity. Many services set a target for each ES to collect a minimum number of client lead recovery stories </w:t>
            </w:r>
            <w:r w:rsidR="00FE1EC2" w:rsidRPr="21B2401D">
              <w:rPr>
                <w:rFonts w:ascii="Arial" w:eastAsia="Arial" w:hAnsi="Arial" w:cs="Arial"/>
                <w:color w:val="000000" w:themeColor="text1"/>
              </w:rPr>
              <w:t>e.g.,</w:t>
            </w:r>
            <w:r w:rsidRPr="21B2401D">
              <w:rPr>
                <w:rFonts w:ascii="Arial" w:eastAsia="Arial" w:hAnsi="Arial" w:cs="Arial"/>
                <w:color w:val="000000" w:themeColor="text1"/>
              </w:rPr>
              <w:t xml:space="preserve"> 4 per year.</w:t>
            </w:r>
          </w:p>
        </w:tc>
        <w:tc>
          <w:tcPr>
            <w:tcW w:w="2134"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14:paraId="45E940A3" w14:textId="3BCE0C82" w:rsidR="485FF48E" w:rsidRDefault="485FF48E" w:rsidP="21B2401D">
            <w:pPr>
              <w:rPr>
                <w:rFonts w:ascii="Arial" w:eastAsia="Arial" w:hAnsi="Arial" w:cs="Arial"/>
                <w:color w:val="000000" w:themeColor="text1"/>
              </w:rPr>
            </w:pPr>
            <w:r w:rsidRPr="21B2401D">
              <w:rPr>
                <w:rFonts w:ascii="Arial" w:eastAsia="Arial" w:hAnsi="Arial" w:cs="Arial"/>
                <w:color w:val="000000" w:themeColor="text1"/>
              </w:rPr>
              <w:t xml:space="preserve">Recovery story booklets. </w:t>
            </w:r>
          </w:p>
          <w:p w14:paraId="549FF7EB" w14:textId="08954234" w:rsidR="485FF48E" w:rsidRDefault="485FF48E" w:rsidP="21B2401D">
            <w:pPr>
              <w:rPr>
                <w:rFonts w:ascii="Arial" w:eastAsia="Arial" w:hAnsi="Arial" w:cs="Arial"/>
                <w:color w:val="000000" w:themeColor="text1"/>
              </w:rPr>
            </w:pPr>
            <w:r w:rsidRPr="21B2401D">
              <w:rPr>
                <w:rFonts w:ascii="Arial" w:eastAsia="Arial" w:hAnsi="Arial" w:cs="Arial"/>
                <w:color w:val="000000" w:themeColor="text1"/>
              </w:rPr>
              <w:t xml:space="preserve">Example </w:t>
            </w:r>
            <w:hyperlink r:id="rId13" w:history="1">
              <w:r w:rsidRPr="00D12826">
                <w:rPr>
                  <w:rStyle w:val="Hyperlink"/>
                  <w:rFonts w:ascii="Arial" w:eastAsia="Arial" w:hAnsi="Arial" w:cs="Arial"/>
                  <w:sz w:val="24"/>
                  <w:szCs w:val="24"/>
                </w:rPr>
                <w:t>here</w:t>
              </w:r>
            </w:hyperlink>
            <w:r w:rsidRPr="21B2401D">
              <w:rPr>
                <w:rFonts w:ascii="Arial" w:eastAsia="Arial" w:hAnsi="Arial" w:cs="Arial"/>
                <w:color w:val="000000" w:themeColor="text1"/>
              </w:rPr>
              <w:t xml:space="preserve"> </w:t>
            </w:r>
          </w:p>
          <w:p w14:paraId="5B7C9C28" w14:textId="44B3DA5F" w:rsidR="485FF48E" w:rsidRDefault="485FF48E" w:rsidP="21B2401D">
            <w:pPr>
              <w:rPr>
                <w:rFonts w:ascii="Arial" w:eastAsia="Arial" w:hAnsi="Arial" w:cs="Arial"/>
                <w:color w:val="000000" w:themeColor="text1"/>
              </w:rPr>
            </w:pPr>
            <w:r w:rsidRPr="21B2401D">
              <w:rPr>
                <w:rFonts w:ascii="Arial" w:eastAsia="Arial" w:hAnsi="Arial" w:cs="Arial"/>
                <w:color w:val="000000" w:themeColor="text1"/>
              </w:rPr>
              <w:t xml:space="preserve">Template </w:t>
            </w:r>
            <w:hyperlink r:id="rId14" w:history="1">
              <w:r w:rsidRPr="009719D7">
                <w:rPr>
                  <w:rStyle w:val="Hyperlink"/>
                  <w:rFonts w:ascii="Arial" w:eastAsia="Arial" w:hAnsi="Arial" w:cs="Arial"/>
                  <w:sz w:val="24"/>
                  <w:szCs w:val="24"/>
                </w:rPr>
                <w:t>here</w:t>
              </w:r>
            </w:hyperlink>
          </w:p>
        </w:tc>
      </w:tr>
      <w:tr w:rsidR="21B2401D" w14:paraId="6D5ADE1E" w14:textId="77777777" w:rsidTr="3D0C76C0">
        <w:trPr>
          <w:trHeight w:val="870"/>
        </w:trPr>
        <w:tc>
          <w:tcPr>
            <w:tcW w:w="2486"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14:paraId="39D5AA43" w14:textId="5562C4F6" w:rsidR="485FF48E" w:rsidRDefault="485FF48E" w:rsidP="21B2401D">
            <w:pPr>
              <w:rPr>
                <w:rFonts w:ascii="Arial" w:eastAsia="Arial" w:hAnsi="Arial" w:cs="Arial"/>
                <w:color w:val="000000" w:themeColor="text1"/>
              </w:rPr>
            </w:pPr>
            <w:r w:rsidRPr="21B2401D">
              <w:rPr>
                <w:rFonts w:ascii="Arial" w:eastAsia="Arial" w:hAnsi="Arial" w:cs="Arial"/>
                <w:color w:val="000000" w:themeColor="text1"/>
              </w:rPr>
              <w:t>Percentage of clients who are willing to let their ES discuss relevant personal information with an employer</w:t>
            </w:r>
          </w:p>
        </w:tc>
        <w:tc>
          <w:tcPr>
            <w:tcW w:w="4394"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14:paraId="7546B8AC" w14:textId="094617C0" w:rsidR="485FF48E" w:rsidRDefault="485FF48E" w:rsidP="21B2401D">
            <w:pPr>
              <w:rPr>
                <w:rFonts w:ascii="Arial" w:eastAsia="Arial" w:hAnsi="Arial" w:cs="Arial"/>
                <w:color w:val="000000" w:themeColor="text1"/>
              </w:rPr>
            </w:pPr>
            <w:r w:rsidRPr="21B2401D">
              <w:rPr>
                <w:rFonts w:ascii="Arial" w:eastAsia="Arial" w:hAnsi="Arial" w:cs="Arial"/>
                <w:color w:val="000000" w:themeColor="text1"/>
              </w:rPr>
              <w:t>Personal information plan agreed with a client enables the ES to do both employer engagement and provide in work support to the ES and client.</w:t>
            </w:r>
          </w:p>
        </w:tc>
        <w:tc>
          <w:tcPr>
            <w:tcW w:w="2134"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14:paraId="4A191CB4" w14:textId="1A206528" w:rsidR="485FF48E" w:rsidRDefault="485FF48E" w:rsidP="21B2401D">
            <w:pPr>
              <w:rPr>
                <w:rFonts w:ascii="Arial" w:eastAsia="Arial" w:hAnsi="Arial" w:cs="Arial"/>
                <w:color w:val="000000" w:themeColor="text1"/>
              </w:rPr>
            </w:pPr>
            <w:r w:rsidRPr="21B2401D">
              <w:rPr>
                <w:rFonts w:ascii="Arial" w:eastAsia="Arial" w:hAnsi="Arial" w:cs="Arial"/>
                <w:color w:val="000000" w:themeColor="text1"/>
              </w:rPr>
              <w:t>Recorded via the service data tool and caseload summaries</w:t>
            </w:r>
          </w:p>
        </w:tc>
      </w:tr>
      <w:tr w:rsidR="21B2401D" w14:paraId="1D25A254" w14:textId="77777777" w:rsidTr="3D0C76C0">
        <w:trPr>
          <w:trHeight w:val="870"/>
        </w:trPr>
        <w:tc>
          <w:tcPr>
            <w:tcW w:w="2486"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14:paraId="431DF04B" w14:textId="04A2C3A7" w:rsidR="485FF48E" w:rsidRDefault="485FF48E" w:rsidP="21B2401D">
            <w:pPr>
              <w:rPr>
                <w:rFonts w:ascii="Arial" w:eastAsia="Arial" w:hAnsi="Arial" w:cs="Arial"/>
                <w:color w:val="000000" w:themeColor="text1"/>
              </w:rPr>
            </w:pPr>
            <w:r w:rsidRPr="21B2401D">
              <w:rPr>
                <w:rFonts w:ascii="Arial" w:eastAsia="Arial" w:hAnsi="Arial" w:cs="Arial"/>
                <w:color w:val="000000" w:themeColor="text1"/>
              </w:rPr>
              <w:t>Number of people closed not in work</w:t>
            </w:r>
          </w:p>
        </w:tc>
        <w:tc>
          <w:tcPr>
            <w:tcW w:w="4394"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14:paraId="6A771E4B" w14:textId="265CC8FA" w:rsidR="485FF48E" w:rsidRDefault="485FF48E" w:rsidP="21B2401D">
            <w:pPr>
              <w:rPr>
                <w:rFonts w:ascii="Arial" w:eastAsia="Arial" w:hAnsi="Arial" w:cs="Arial"/>
                <w:color w:val="000000" w:themeColor="text1"/>
              </w:rPr>
            </w:pPr>
            <w:r w:rsidRPr="21B2401D">
              <w:rPr>
                <w:rFonts w:ascii="Arial" w:eastAsia="Arial" w:hAnsi="Arial" w:cs="Arial"/>
                <w:color w:val="000000" w:themeColor="text1"/>
              </w:rPr>
              <w:t>Identify the reason for disengagement</w:t>
            </w:r>
          </w:p>
          <w:p w14:paraId="43917E0B" w14:textId="035B3943" w:rsidR="485FF48E" w:rsidRDefault="485FF48E" w:rsidP="21B2401D">
            <w:pPr>
              <w:rPr>
                <w:rFonts w:ascii="Arial" w:eastAsia="Arial" w:hAnsi="Arial" w:cs="Arial"/>
                <w:color w:val="000000" w:themeColor="text1"/>
              </w:rPr>
            </w:pPr>
            <w:r w:rsidRPr="21B2401D">
              <w:rPr>
                <w:rFonts w:ascii="Arial" w:eastAsia="Arial" w:hAnsi="Arial" w:cs="Arial"/>
                <w:color w:val="000000" w:themeColor="text1"/>
              </w:rPr>
              <w:t xml:space="preserve">E.g. </w:t>
            </w:r>
          </w:p>
          <w:p w14:paraId="2D53EA24" w14:textId="7DDBD55F" w:rsidR="485FF48E" w:rsidRDefault="485FF48E" w:rsidP="00182E8C">
            <w:pPr>
              <w:pStyle w:val="ListParagraph"/>
              <w:numPr>
                <w:ilvl w:val="0"/>
                <w:numId w:val="1"/>
              </w:numPr>
              <w:rPr>
                <w:rFonts w:eastAsiaTheme="minorEastAsia"/>
                <w:color w:val="000000" w:themeColor="text1"/>
              </w:rPr>
            </w:pPr>
            <w:r w:rsidRPr="21B2401D">
              <w:rPr>
                <w:rFonts w:ascii="Arial" w:eastAsia="Arial" w:hAnsi="Arial" w:cs="Arial"/>
                <w:color w:val="000000" w:themeColor="text1"/>
              </w:rPr>
              <w:t>Client no longer wants to work</w:t>
            </w:r>
          </w:p>
          <w:p w14:paraId="722B82D1" w14:textId="0FE436F5" w:rsidR="485FF48E" w:rsidRDefault="485FF48E" w:rsidP="00182E8C">
            <w:pPr>
              <w:pStyle w:val="ListParagraph"/>
              <w:numPr>
                <w:ilvl w:val="0"/>
                <w:numId w:val="1"/>
              </w:numPr>
              <w:rPr>
                <w:rFonts w:eastAsiaTheme="minorEastAsia"/>
                <w:color w:val="000000" w:themeColor="text1"/>
              </w:rPr>
            </w:pPr>
            <w:r w:rsidRPr="21B2401D">
              <w:rPr>
                <w:rFonts w:ascii="Arial" w:eastAsia="Arial" w:hAnsi="Arial" w:cs="Arial"/>
                <w:color w:val="000000" w:themeColor="text1"/>
              </w:rPr>
              <w:t>Client has become unwell</w:t>
            </w:r>
          </w:p>
          <w:p w14:paraId="7068FDA0" w14:textId="0D40DC31" w:rsidR="485FF48E" w:rsidRDefault="485FF48E" w:rsidP="00182E8C">
            <w:pPr>
              <w:pStyle w:val="ListParagraph"/>
              <w:numPr>
                <w:ilvl w:val="0"/>
                <w:numId w:val="1"/>
              </w:numPr>
              <w:rPr>
                <w:rFonts w:eastAsiaTheme="minorEastAsia"/>
                <w:color w:val="000000" w:themeColor="text1"/>
              </w:rPr>
            </w:pPr>
            <w:r w:rsidRPr="21B2401D">
              <w:rPr>
                <w:rFonts w:ascii="Arial" w:eastAsia="Arial" w:hAnsi="Arial" w:cs="Arial"/>
                <w:color w:val="000000" w:themeColor="text1"/>
              </w:rPr>
              <w:t>Client would no longer like to work with the IPS service</w:t>
            </w:r>
          </w:p>
        </w:tc>
        <w:tc>
          <w:tcPr>
            <w:tcW w:w="2134"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14:paraId="511562BA" w14:textId="62C65D93" w:rsidR="485FF48E" w:rsidRDefault="485FF48E" w:rsidP="21B2401D">
            <w:pPr>
              <w:rPr>
                <w:rFonts w:ascii="Arial" w:eastAsia="Arial" w:hAnsi="Arial" w:cs="Arial"/>
                <w:color w:val="000000" w:themeColor="text1"/>
              </w:rPr>
            </w:pPr>
            <w:r w:rsidRPr="21B2401D">
              <w:rPr>
                <w:rFonts w:ascii="Arial" w:eastAsia="Arial" w:hAnsi="Arial" w:cs="Arial"/>
                <w:color w:val="000000" w:themeColor="text1"/>
              </w:rPr>
              <w:t>Caseload summaries</w:t>
            </w:r>
          </w:p>
        </w:tc>
      </w:tr>
    </w:tbl>
    <w:p w14:paraId="35761221" w14:textId="63FA9BB1" w:rsidR="19E74784" w:rsidRDefault="19E74784" w:rsidP="21B2401D">
      <w:pPr>
        <w:rPr>
          <w:rFonts w:ascii="Arial" w:eastAsia="Arial" w:hAnsi="Arial" w:cs="Arial"/>
          <w:color w:val="000000" w:themeColor="text1"/>
          <w:sz w:val="22"/>
          <w:szCs w:val="22"/>
        </w:rPr>
      </w:pPr>
    </w:p>
    <w:sectPr w:rsidR="19E74784" w:rsidSect="007D4AF8">
      <w:headerReference w:type="default" r:id="rId15"/>
      <w:pgSz w:w="11900" w:h="16840"/>
      <w:pgMar w:top="153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7F60E" w14:textId="77777777" w:rsidR="00364810" w:rsidRDefault="00364810" w:rsidP="00F83ECA">
      <w:r>
        <w:separator/>
      </w:r>
    </w:p>
  </w:endnote>
  <w:endnote w:type="continuationSeparator" w:id="0">
    <w:p w14:paraId="4CAF13DE" w14:textId="77777777" w:rsidR="00364810" w:rsidRDefault="00364810" w:rsidP="00F83ECA">
      <w:r>
        <w:continuationSeparator/>
      </w:r>
    </w:p>
  </w:endnote>
  <w:endnote w:type="continuationNotice" w:id="1">
    <w:p w14:paraId="7516B1FF" w14:textId="77777777" w:rsidR="00364810" w:rsidRDefault="003648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ED3C0" w14:textId="77777777" w:rsidR="00364810" w:rsidRDefault="00364810" w:rsidP="00F83ECA">
      <w:r>
        <w:separator/>
      </w:r>
    </w:p>
  </w:footnote>
  <w:footnote w:type="continuationSeparator" w:id="0">
    <w:p w14:paraId="420E5178" w14:textId="77777777" w:rsidR="00364810" w:rsidRDefault="00364810" w:rsidP="00F83ECA">
      <w:r>
        <w:continuationSeparator/>
      </w:r>
    </w:p>
  </w:footnote>
  <w:footnote w:type="continuationNotice" w:id="1">
    <w:p w14:paraId="675289FC" w14:textId="77777777" w:rsidR="00364810" w:rsidRDefault="003648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859D2" w14:textId="7F3725E4" w:rsidR="00F83ECA" w:rsidRPr="00143B5D" w:rsidRDefault="00F3511B">
    <w:pPr>
      <w:pStyle w:val="Header"/>
      <w:rPr>
        <w:rFonts w:ascii="Arial Rounded MT Bold" w:hAnsi="Arial Rounded MT Bold"/>
        <w:color w:val="1D3054"/>
        <w:sz w:val="28"/>
        <w:szCs w:val="28"/>
      </w:rPr>
    </w:pPr>
    <w:r w:rsidRPr="00143B5D">
      <w:rPr>
        <w:rFonts w:ascii="Arial Rounded MT Bold" w:hAnsi="Arial Rounded MT Bold"/>
        <w:noProof/>
        <w:color w:val="1D3054"/>
        <w:sz w:val="28"/>
        <w:szCs w:val="28"/>
        <w:lang w:eastAsia="en-GB"/>
      </w:rPr>
      <w:drawing>
        <wp:anchor distT="0" distB="0" distL="114300" distR="114300" simplePos="0" relativeHeight="251661312" behindDoc="0" locked="0" layoutInCell="1" allowOverlap="1" wp14:anchorId="482268D4" wp14:editId="568E2F26">
          <wp:simplePos x="0" y="0"/>
          <wp:positionH relativeFrom="column">
            <wp:posOffset>-747395</wp:posOffset>
          </wp:positionH>
          <wp:positionV relativeFrom="paragraph">
            <wp:posOffset>-338754</wp:posOffset>
          </wp:positionV>
          <wp:extent cx="1332865" cy="618999"/>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_logo-01.jpg"/>
                  <pic:cNvPicPr/>
                </pic:nvPicPr>
                <pic:blipFill>
                  <a:blip r:embed="rId1">
                    <a:extLst>
                      <a:ext uri="{28A0092B-C50C-407E-A947-70E740481C1C}">
                        <a14:useLocalDpi xmlns:a14="http://schemas.microsoft.com/office/drawing/2010/main" val="0"/>
                      </a:ext>
                    </a:extLst>
                  </a:blip>
                  <a:stretch>
                    <a:fillRect/>
                  </a:stretch>
                </pic:blipFill>
                <pic:spPr>
                  <a:xfrm>
                    <a:off x="0" y="0"/>
                    <a:ext cx="1332865" cy="618999"/>
                  </a:xfrm>
                  <a:prstGeom prst="rect">
                    <a:avLst/>
                  </a:prstGeom>
                </pic:spPr>
              </pic:pic>
            </a:graphicData>
          </a:graphic>
          <wp14:sizeRelH relativeFrom="page">
            <wp14:pctWidth>0</wp14:pctWidth>
          </wp14:sizeRelH>
          <wp14:sizeRelV relativeFrom="page">
            <wp14:pctHeight>0</wp14:pctHeight>
          </wp14:sizeRelV>
        </wp:anchor>
      </w:drawing>
    </w:r>
    <w:r w:rsidR="00F83ECA" w:rsidRPr="00143B5D">
      <w:rPr>
        <w:rFonts w:ascii="Arial Rounded MT Bold" w:hAnsi="Arial Rounded MT Bold"/>
        <w:noProof/>
        <w:color w:val="1D3054"/>
        <w:sz w:val="28"/>
        <w:szCs w:val="28"/>
        <w:lang w:eastAsia="en-GB"/>
      </w:rPr>
      <mc:AlternateContent>
        <mc:Choice Requires="wps">
          <w:drawing>
            <wp:anchor distT="0" distB="0" distL="114300" distR="114300" simplePos="0" relativeHeight="251657216" behindDoc="0" locked="0" layoutInCell="1" allowOverlap="1" wp14:anchorId="09368F37" wp14:editId="5370A23C">
              <wp:simplePos x="0" y="0"/>
              <wp:positionH relativeFrom="column">
                <wp:posOffset>-983615</wp:posOffset>
              </wp:positionH>
              <wp:positionV relativeFrom="paragraph">
                <wp:posOffset>453016</wp:posOffset>
              </wp:positionV>
              <wp:extent cx="7772400" cy="0"/>
              <wp:effectExtent l="0" t="25400" r="25400" b="25400"/>
              <wp:wrapNone/>
              <wp:docPr id="4" name="Straight Connector 4"/>
              <wp:cNvGraphicFramePr/>
              <a:graphic xmlns:a="http://schemas.openxmlformats.org/drawingml/2006/main">
                <a:graphicData uri="http://schemas.microsoft.com/office/word/2010/wordprocessingShape">
                  <wps:wsp>
                    <wps:cNvCnPr/>
                    <wps:spPr>
                      <a:xfrm>
                        <a:off x="0" y="0"/>
                        <a:ext cx="7772400" cy="0"/>
                      </a:xfrm>
                      <a:prstGeom prst="line">
                        <a:avLst/>
                      </a:prstGeom>
                      <a:ln w="44450">
                        <a:solidFill>
                          <a:srgbClr val="0C6E9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DCCEC3" id="Straight Connector 4"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77.45pt,35.65pt" to="534.55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" strokecolor="#0c6e91" strokeweight="3.5pt">
              <v:stroke joinstyle="miter"/>
            </v:line>
          </w:pict>
        </mc:Fallback>
      </mc:AlternateContent>
    </w:r>
    <w:r w:rsidR="00143B5D" w:rsidRPr="00143B5D">
      <w:rPr>
        <w:rFonts w:ascii="Arial Rounded MT Bold" w:hAnsi="Arial Rounded MT Bold"/>
        <w:color w:val="1D3054"/>
        <w:sz w:val="28"/>
        <w:szCs w:val="28"/>
      </w:rPr>
      <w:t xml:space="preserve">                    </w:t>
    </w:r>
    <w:r w:rsidR="00143B5D">
      <w:rPr>
        <w:rFonts w:ascii="Arial Rounded MT Bold" w:hAnsi="Arial Rounded MT Bold"/>
        <w:color w:val="1D3054"/>
        <w:sz w:val="28"/>
        <w:szCs w:val="28"/>
      </w:rPr>
      <w:t xml:space="preserve">                                    </w:t>
    </w:r>
    <w:r w:rsidR="00143B5D" w:rsidRPr="00143B5D">
      <w:rPr>
        <w:rFonts w:ascii="Arial Rounded MT Bold" w:hAnsi="Arial Rounded MT Bold"/>
        <w:color w:val="1D3054"/>
        <w:sz w:val="28"/>
        <w:szCs w:val="28"/>
      </w:rPr>
      <w:t>IPS Grow Quality Improvement Tools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24324"/>
    <w:multiLevelType w:val="hybridMultilevel"/>
    <w:tmpl w:val="FFFFFFFF"/>
    <w:lvl w:ilvl="0" w:tplc="18CA6EEE">
      <w:start w:val="1"/>
      <w:numFmt w:val="bullet"/>
      <w:lvlText w:val="·"/>
      <w:lvlJc w:val="left"/>
      <w:pPr>
        <w:ind w:left="720" w:hanging="360"/>
      </w:pPr>
      <w:rPr>
        <w:rFonts w:ascii="Symbol" w:hAnsi="Symbol" w:hint="default"/>
      </w:rPr>
    </w:lvl>
    <w:lvl w:ilvl="1" w:tplc="0E728870">
      <w:start w:val="1"/>
      <w:numFmt w:val="bullet"/>
      <w:lvlText w:val="o"/>
      <w:lvlJc w:val="left"/>
      <w:pPr>
        <w:ind w:left="1440" w:hanging="360"/>
      </w:pPr>
      <w:rPr>
        <w:rFonts w:ascii="Courier New" w:hAnsi="Courier New" w:hint="default"/>
      </w:rPr>
    </w:lvl>
    <w:lvl w:ilvl="2" w:tplc="9258A7A2">
      <w:start w:val="1"/>
      <w:numFmt w:val="bullet"/>
      <w:lvlText w:val=""/>
      <w:lvlJc w:val="left"/>
      <w:pPr>
        <w:ind w:left="2160" w:hanging="360"/>
      </w:pPr>
      <w:rPr>
        <w:rFonts w:ascii="Wingdings" w:hAnsi="Wingdings" w:hint="default"/>
      </w:rPr>
    </w:lvl>
    <w:lvl w:ilvl="3" w:tplc="9FEE0DD4">
      <w:start w:val="1"/>
      <w:numFmt w:val="bullet"/>
      <w:lvlText w:val=""/>
      <w:lvlJc w:val="left"/>
      <w:pPr>
        <w:ind w:left="2880" w:hanging="360"/>
      </w:pPr>
      <w:rPr>
        <w:rFonts w:ascii="Symbol" w:hAnsi="Symbol" w:hint="default"/>
      </w:rPr>
    </w:lvl>
    <w:lvl w:ilvl="4" w:tplc="D97E4F5C">
      <w:start w:val="1"/>
      <w:numFmt w:val="bullet"/>
      <w:lvlText w:val="o"/>
      <w:lvlJc w:val="left"/>
      <w:pPr>
        <w:ind w:left="3600" w:hanging="360"/>
      </w:pPr>
      <w:rPr>
        <w:rFonts w:ascii="Courier New" w:hAnsi="Courier New" w:hint="default"/>
      </w:rPr>
    </w:lvl>
    <w:lvl w:ilvl="5" w:tplc="CE32F156">
      <w:start w:val="1"/>
      <w:numFmt w:val="bullet"/>
      <w:lvlText w:val=""/>
      <w:lvlJc w:val="left"/>
      <w:pPr>
        <w:ind w:left="4320" w:hanging="360"/>
      </w:pPr>
      <w:rPr>
        <w:rFonts w:ascii="Wingdings" w:hAnsi="Wingdings" w:hint="default"/>
      </w:rPr>
    </w:lvl>
    <w:lvl w:ilvl="6" w:tplc="1EB2D9F6">
      <w:start w:val="1"/>
      <w:numFmt w:val="bullet"/>
      <w:lvlText w:val=""/>
      <w:lvlJc w:val="left"/>
      <w:pPr>
        <w:ind w:left="5040" w:hanging="360"/>
      </w:pPr>
      <w:rPr>
        <w:rFonts w:ascii="Symbol" w:hAnsi="Symbol" w:hint="default"/>
      </w:rPr>
    </w:lvl>
    <w:lvl w:ilvl="7" w:tplc="70222FF6">
      <w:start w:val="1"/>
      <w:numFmt w:val="bullet"/>
      <w:lvlText w:val="o"/>
      <w:lvlJc w:val="left"/>
      <w:pPr>
        <w:ind w:left="5760" w:hanging="360"/>
      </w:pPr>
      <w:rPr>
        <w:rFonts w:ascii="Courier New" w:hAnsi="Courier New" w:hint="default"/>
      </w:rPr>
    </w:lvl>
    <w:lvl w:ilvl="8" w:tplc="370A05B6">
      <w:start w:val="1"/>
      <w:numFmt w:val="bullet"/>
      <w:lvlText w:val=""/>
      <w:lvlJc w:val="left"/>
      <w:pPr>
        <w:ind w:left="6480" w:hanging="360"/>
      </w:pPr>
      <w:rPr>
        <w:rFonts w:ascii="Wingdings" w:hAnsi="Wingdings" w:hint="default"/>
      </w:rPr>
    </w:lvl>
  </w:abstractNum>
  <w:abstractNum w:abstractNumId="1" w15:restartNumberingAfterBreak="0">
    <w:nsid w:val="72CD6050"/>
    <w:multiLevelType w:val="hybridMultilevel"/>
    <w:tmpl w:val="74D46006"/>
    <w:lvl w:ilvl="0" w:tplc="5E2AE7EE">
      <w:start w:val="1"/>
      <w:numFmt w:val="bullet"/>
      <w:pStyle w:val="List1"/>
      <w:lvlText w:val=""/>
      <w:lvlJc w:val="left"/>
      <w:pPr>
        <w:ind w:left="720" w:hanging="360"/>
      </w:pPr>
      <w:rPr>
        <w:rFonts w:ascii="Symbol" w:hAnsi="Symbol" w:hint="default"/>
        <w:color w:val="BB185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44B1"/>
    <w:rsid w:val="00013B49"/>
    <w:rsid w:val="0003260B"/>
    <w:rsid w:val="0005433A"/>
    <w:rsid w:val="000567EE"/>
    <w:rsid w:val="00065D1F"/>
    <w:rsid w:val="00073A8A"/>
    <w:rsid w:val="00075820"/>
    <w:rsid w:val="00076C04"/>
    <w:rsid w:val="00082F3A"/>
    <w:rsid w:val="00104E23"/>
    <w:rsid w:val="001159A7"/>
    <w:rsid w:val="001244B1"/>
    <w:rsid w:val="00143B5D"/>
    <w:rsid w:val="00144934"/>
    <w:rsid w:val="00153406"/>
    <w:rsid w:val="0016131C"/>
    <w:rsid w:val="00163696"/>
    <w:rsid w:val="0018244A"/>
    <w:rsid w:val="00182E8C"/>
    <w:rsid w:val="001C4566"/>
    <w:rsid w:val="001D0798"/>
    <w:rsid w:val="00200765"/>
    <w:rsid w:val="002038D1"/>
    <w:rsid w:val="0021477A"/>
    <w:rsid w:val="0022451A"/>
    <w:rsid w:val="00226EB5"/>
    <w:rsid w:val="002315DA"/>
    <w:rsid w:val="002641B7"/>
    <w:rsid w:val="00272769"/>
    <w:rsid w:val="002802E0"/>
    <w:rsid w:val="00285E3D"/>
    <w:rsid w:val="0029199B"/>
    <w:rsid w:val="002A32BD"/>
    <w:rsid w:val="002A45BB"/>
    <w:rsid w:val="002B2FDE"/>
    <w:rsid w:val="002C16C1"/>
    <w:rsid w:val="002D0DF7"/>
    <w:rsid w:val="002E1F6C"/>
    <w:rsid w:val="002F353A"/>
    <w:rsid w:val="002F7929"/>
    <w:rsid w:val="00320CFC"/>
    <w:rsid w:val="00324E95"/>
    <w:rsid w:val="00326035"/>
    <w:rsid w:val="00334399"/>
    <w:rsid w:val="003401C9"/>
    <w:rsid w:val="0034497B"/>
    <w:rsid w:val="00347676"/>
    <w:rsid w:val="003559D0"/>
    <w:rsid w:val="003568EA"/>
    <w:rsid w:val="00364810"/>
    <w:rsid w:val="00370E5F"/>
    <w:rsid w:val="003B5DC4"/>
    <w:rsid w:val="003C5363"/>
    <w:rsid w:val="003F07B1"/>
    <w:rsid w:val="003F4C9C"/>
    <w:rsid w:val="003F76A1"/>
    <w:rsid w:val="0041084D"/>
    <w:rsid w:val="004201CB"/>
    <w:rsid w:val="004372C4"/>
    <w:rsid w:val="004471E5"/>
    <w:rsid w:val="0045414D"/>
    <w:rsid w:val="004552CF"/>
    <w:rsid w:val="0046101C"/>
    <w:rsid w:val="00474781"/>
    <w:rsid w:val="00491FF6"/>
    <w:rsid w:val="00492CD1"/>
    <w:rsid w:val="004B7FC0"/>
    <w:rsid w:val="005054EF"/>
    <w:rsid w:val="00514AB3"/>
    <w:rsid w:val="00546D7A"/>
    <w:rsid w:val="00574EC6"/>
    <w:rsid w:val="005A2516"/>
    <w:rsid w:val="005B32E1"/>
    <w:rsid w:val="005F028C"/>
    <w:rsid w:val="006034AD"/>
    <w:rsid w:val="00614254"/>
    <w:rsid w:val="00632DC6"/>
    <w:rsid w:val="006508A2"/>
    <w:rsid w:val="00661F82"/>
    <w:rsid w:val="00675665"/>
    <w:rsid w:val="0068554D"/>
    <w:rsid w:val="00692C6C"/>
    <w:rsid w:val="006C6C1E"/>
    <w:rsid w:val="006D153E"/>
    <w:rsid w:val="006D2BE7"/>
    <w:rsid w:val="006E7295"/>
    <w:rsid w:val="006F1442"/>
    <w:rsid w:val="00703A29"/>
    <w:rsid w:val="00714CF2"/>
    <w:rsid w:val="00715125"/>
    <w:rsid w:val="0072763A"/>
    <w:rsid w:val="00742AEF"/>
    <w:rsid w:val="007679DA"/>
    <w:rsid w:val="007C43D4"/>
    <w:rsid w:val="007C4CA6"/>
    <w:rsid w:val="007C58B8"/>
    <w:rsid w:val="007D4AF8"/>
    <w:rsid w:val="007E78A4"/>
    <w:rsid w:val="00807279"/>
    <w:rsid w:val="0082254F"/>
    <w:rsid w:val="00824F6B"/>
    <w:rsid w:val="00855DE3"/>
    <w:rsid w:val="00874C9B"/>
    <w:rsid w:val="008C4ABF"/>
    <w:rsid w:val="008D247E"/>
    <w:rsid w:val="008D7BE5"/>
    <w:rsid w:val="00923941"/>
    <w:rsid w:val="0093405F"/>
    <w:rsid w:val="0094669E"/>
    <w:rsid w:val="009651D5"/>
    <w:rsid w:val="009719D7"/>
    <w:rsid w:val="009767BA"/>
    <w:rsid w:val="00980B45"/>
    <w:rsid w:val="009A7235"/>
    <w:rsid w:val="00A00876"/>
    <w:rsid w:val="00A27581"/>
    <w:rsid w:val="00A55FC5"/>
    <w:rsid w:val="00A569B7"/>
    <w:rsid w:val="00A56CDF"/>
    <w:rsid w:val="00A6224B"/>
    <w:rsid w:val="00A7100F"/>
    <w:rsid w:val="00A748F3"/>
    <w:rsid w:val="00A9565F"/>
    <w:rsid w:val="00AE3C3A"/>
    <w:rsid w:val="00B007DC"/>
    <w:rsid w:val="00B11B81"/>
    <w:rsid w:val="00B11C6A"/>
    <w:rsid w:val="00B51720"/>
    <w:rsid w:val="00B55AE8"/>
    <w:rsid w:val="00B63FD6"/>
    <w:rsid w:val="00B777C0"/>
    <w:rsid w:val="00B81E6A"/>
    <w:rsid w:val="00B85989"/>
    <w:rsid w:val="00BA042A"/>
    <w:rsid w:val="00BA2986"/>
    <w:rsid w:val="00BB6E18"/>
    <w:rsid w:val="00C1034C"/>
    <w:rsid w:val="00C1357A"/>
    <w:rsid w:val="00C20355"/>
    <w:rsid w:val="00C22C30"/>
    <w:rsid w:val="00C421AD"/>
    <w:rsid w:val="00C47E6C"/>
    <w:rsid w:val="00C91434"/>
    <w:rsid w:val="00CA1029"/>
    <w:rsid w:val="00CD34FD"/>
    <w:rsid w:val="00CD601D"/>
    <w:rsid w:val="00CE2105"/>
    <w:rsid w:val="00D12826"/>
    <w:rsid w:val="00D1411B"/>
    <w:rsid w:val="00D17B80"/>
    <w:rsid w:val="00D31EEC"/>
    <w:rsid w:val="00D364BA"/>
    <w:rsid w:val="00D60DD5"/>
    <w:rsid w:val="00D62A7F"/>
    <w:rsid w:val="00D62D87"/>
    <w:rsid w:val="00D93672"/>
    <w:rsid w:val="00D946A3"/>
    <w:rsid w:val="00D96BD3"/>
    <w:rsid w:val="00DB5EBF"/>
    <w:rsid w:val="00DB7093"/>
    <w:rsid w:val="00DC371F"/>
    <w:rsid w:val="00DE6715"/>
    <w:rsid w:val="00E07CAB"/>
    <w:rsid w:val="00E40234"/>
    <w:rsid w:val="00E6499E"/>
    <w:rsid w:val="00E768A2"/>
    <w:rsid w:val="00EC22C7"/>
    <w:rsid w:val="00EF56AB"/>
    <w:rsid w:val="00F11677"/>
    <w:rsid w:val="00F27871"/>
    <w:rsid w:val="00F3466D"/>
    <w:rsid w:val="00F3511B"/>
    <w:rsid w:val="00F3532E"/>
    <w:rsid w:val="00F41E3C"/>
    <w:rsid w:val="00F46B96"/>
    <w:rsid w:val="00F52FAC"/>
    <w:rsid w:val="00F616D3"/>
    <w:rsid w:val="00F72925"/>
    <w:rsid w:val="00F83ECA"/>
    <w:rsid w:val="00F84E3A"/>
    <w:rsid w:val="00F920AB"/>
    <w:rsid w:val="00FB66BA"/>
    <w:rsid w:val="00FD425C"/>
    <w:rsid w:val="00FE1EC2"/>
    <w:rsid w:val="00FE22C0"/>
    <w:rsid w:val="01C64701"/>
    <w:rsid w:val="02E969DF"/>
    <w:rsid w:val="037A5C24"/>
    <w:rsid w:val="05681F57"/>
    <w:rsid w:val="05D3C8E4"/>
    <w:rsid w:val="05E84B98"/>
    <w:rsid w:val="06510C76"/>
    <w:rsid w:val="0845F200"/>
    <w:rsid w:val="0906196D"/>
    <w:rsid w:val="091D84DD"/>
    <w:rsid w:val="09E90FAB"/>
    <w:rsid w:val="0A7D7BBF"/>
    <w:rsid w:val="0B84E00C"/>
    <w:rsid w:val="0C1945A4"/>
    <w:rsid w:val="0CD4E8DE"/>
    <w:rsid w:val="0D4FF2D6"/>
    <w:rsid w:val="0DBC0745"/>
    <w:rsid w:val="0FED1861"/>
    <w:rsid w:val="1026DA95"/>
    <w:rsid w:val="1122270E"/>
    <w:rsid w:val="11953C24"/>
    <w:rsid w:val="1279AAED"/>
    <w:rsid w:val="13316A08"/>
    <w:rsid w:val="1461659D"/>
    <w:rsid w:val="1467D319"/>
    <w:rsid w:val="14F93177"/>
    <w:rsid w:val="166E5364"/>
    <w:rsid w:val="172B7C28"/>
    <w:rsid w:val="1732F1E4"/>
    <w:rsid w:val="181C385E"/>
    <w:rsid w:val="189D6B11"/>
    <w:rsid w:val="18A3F7EE"/>
    <w:rsid w:val="19E74784"/>
    <w:rsid w:val="1C26706F"/>
    <w:rsid w:val="1C50B7A6"/>
    <w:rsid w:val="1C759E6C"/>
    <w:rsid w:val="1D2B7A6E"/>
    <w:rsid w:val="1E0AA840"/>
    <w:rsid w:val="1F9E8B1B"/>
    <w:rsid w:val="1FAD3F2E"/>
    <w:rsid w:val="2123DD44"/>
    <w:rsid w:val="21490F8F"/>
    <w:rsid w:val="214FCDD5"/>
    <w:rsid w:val="216FF186"/>
    <w:rsid w:val="21B2401D"/>
    <w:rsid w:val="223EE2F7"/>
    <w:rsid w:val="2394C7AD"/>
    <w:rsid w:val="24495A19"/>
    <w:rsid w:val="24A0F2F9"/>
    <w:rsid w:val="281CB088"/>
    <w:rsid w:val="29B4488C"/>
    <w:rsid w:val="29FF8CC7"/>
    <w:rsid w:val="2A4DFCDE"/>
    <w:rsid w:val="2A943DE5"/>
    <w:rsid w:val="2BD41A0B"/>
    <w:rsid w:val="2D8BA9AD"/>
    <w:rsid w:val="2E7BF732"/>
    <w:rsid w:val="3086DE41"/>
    <w:rsid w:val="313886D4"/>
    <w:rsid w:val="34C8AA8D"/>
    <w:rsid w:val="366B1349"/>
    <w:rsid w:val="37E0F866"/>
    <w:rsid w:val="3AA3CCE4"/>
    <w:rsid w:val="3BE8C146"/>
    <w:rsid w:val="3C3A5669"/>
    <w:rsid w:val="3C9FCE02"/>
    <w:rsid w:val="3D0C76C0"/>
    <w:rsid w:val="3FD08614"/>
    <w:rsid w:val="41040DDB"/>
    <w:rsid w:val="43206300"/>
    <w:rsid w:val="43B4330C"/>
    <w:rsid w:val="462D7EEE"/>
    <w:rsid w:val="4766BF53"/>
    <w:rsid w:val="485FF48E"/>
    <w:rsid w:val="487E2C9D"/>
    <w:rsid w:val="48CA3DEF"/>
    <w:rsid w:val="518B0CCB"/>
    <w:rsid w:val="547860CA"/>
    <w:rsid w:val="54B59DD4"/>
    <w:rsid w:val="5856E89A"/>
    <w:rsid w:val="591FB29B"/>
    <w:rsid w:val="59A93BE7"/>
    <w:rsid w:val="59ADB5D4"/>
    <w:rsid w:val="59D42EC3"/>
    <w:rsid w:val="5A0718DA"/>
    <w:rsid w:val="5ADC7664"/>
    <w:rsid w:val="5B107582"/>
    <w:rsid w:val="5CD135EF"/>
    <w:rsid w:val="5D0F0567"/>
    <w:rsid w:val="5EC13377"/>
    <w:rsid w:val="5F397AB1"/>
    <w:rsid w:val="5F9DF91C"/>
    <w:rsid w:val="60476B46"/>
    <w:rsid w:val="60DB35F6"/>
    <w:rsid w:val="618500DF"/>
    <w:rsid w:val="619456FD"/>
    <w:rsid w:val="61E20CB7"/>
    <w:rsid w:val="62103132"/>
    <w:rsid w:val="633F0F7A"/>
    <w:rsid w:val="63614FDB"/>
    <w:rsid w:val="64EB613F"/>
    <w:rsid w:val="64FA91CA"/>
    <w:rsid w:val="65227C89"/>
    <w:rsid w:val="66087047"/>
    <w:rsid w:val="662A6788"/>
    <w:rsid w:val="66C44FC6"/>
    <w:rsid w:val="67787796"/>
    <w:rsid w:val="68152681"/>
    <w:rsid w:val="685BC7C4"/>
    <w:rsid w:val="6876EDB8"/>
    <w:rsid w:val="68EF8FB6"/>
    <w:rsid w:val="69047B44"/>
    <w:rsid w:val="69494007"/>
    <w:rsid w:val="6B362800"/>
    <w:rsid w:val="6C22AD71"/>
    <w:rsid w:val="6D6E0F0C"/>
    <w:rsid w:val="6DB2CDD1"/>
    <w:rsid w:val="6DB7FBB9"/>
    <w:rsid w:val="6DE61FEA"/>
    <w:rsid w:val="6EAE03F9"/>
    <w:rsid w:val="6F43EAE9"/>
    <w:rsid w:val="707A792B"/>
    <w:rsid w:val="710D9901"/>
    <w:rsid w:val="71DDB097"/>
    <w:rsid w:val="75C0C5FC"/>
    <w:rsid w:val="76711C18"/>
    <w:rsid w:val="7756DF9B"/>
    <w:rsid w:val="7863C80E"/>
    <w:rsid w:val="794FF400"/>
    <w:rsid w:val="79D03272"/>
    <w:rsid w:val="7C53CB21"/>
    <w:rsid w:val="7E028693"/>
    <w:rsid w:val="7E05CA6A"/>
    <w:rsid w:val="7F1A8DD1"/>
    <w:rsid w:val="7FEC701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7879EFA"/>
  <w14:defaultImageDpi w14:val="32767"/>
  <w15:chartTrackingRefBased/>
  <w15:docId w15:val="{723A88E3-21B7-4390-8204-20FC05344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nhideWhenUsed/>
    <w:qFormat/>
    <w:rsid w:val="00FE22C0"/>
    <w:pPr>
      <w:outlineLvl w:val="2"/>
    </w:pPr>
    <w:rPr>
      <w:rFonts w:ascii="Arial" w:eastAsia="Times New Roman"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3ECA"/>
    <w:pPr>
      <w:tabs>
        <w:tab w:val="center" w:pos="4513"/>
        <w:tab w:val="right" w:pos="9026"/>
      </w:tabs>
    </w:pPr>
  </w:style>
  <w:style w:type="character" w:customStyle="1" w:styleId="HeaderChar">
    <w:name w:val="Header Char"/>
    <w:basedOn w:val="DefaultParagraphFont"/>
    <w:link w:val="Header"/>
    <w:uiPriority w:val="99"/>
    <w:rsid w:val="00F83ECA"/>
  </w:style>
  <w:style w:type="paragraph" w:styleId="Footer">
    <w:name w:val="footer"/>
    <w:basedOn w:val="Normal"/>
    <w:link w:val="FooterChar"/>
    <w:uiPriority w:val="99"/>
    <w:unhideWhenUsed/>
    <w:rsid w:val="00F83ECA"/>
    <w:pPr>
      <w:tabs>
        <w:tab w:val="center" w:pos="4513"/>
        <w:tab w:val="right" w:pos="9026"/>
      </w:tabs>
    </w:pPr>
  </w:style>
  <w:style w:type="character" w:customStyle="1" w:styleId="FooterChar">
    <w:name w:val="Footer Char"/>
    <w:basedOn w:val="DefaultParagraphFont"/>
    <w:link w:val="Footer"/>
    <w:uiPriority w:val="99"/>
    <w:rsid w:val="00F83ECA"/>
  </w:style>
  <w:style w:type="paragraph" w:styleId="CommentText">
    <w:name w:val="annotation text"/>
    <w:basedOn w:val="Normal"/>
    <w:link w:val="CommentTextChar"/>
    <w:uiPriority w:val="99"/>
    <w:unhideWhenUsed/>
    <w:rsid w:val="00334399"/>
    <w:pPr>
      <w:jc w:val="both"/>
    </w:pPr>
    <w:rPr>
      <w:rFonts w:ascii="Trebuchet MS" w:eastAsia="Times New Roman" w:hAnsi="Trebuchet MS" w:cs="Times New Roman"/>
      <w:sz w:val="20"/>
      <w:szCs w:val="20"/>
      <w:lang w:eastAsia="en-GB"/>
    </w:rPr>
  </w:style>
  <w:style w:type="character" w:customStyle="1" w:styleId="CommentTextChar">
    <w:name w:val="Comment Text Char"/>
    <w:basedOn w:val="DefaultParagraphFont"/>
    <w:link w:val="CommentText"/>
    <w:uiPriority w:val="99"/>
    <w:rsid w:val="00334399"/>
    <w:rPr>
      <w:rFonts w:ascii="Trebuchet MS" w:eastAsia="Times New Roman" w:hAnsi="Trebuchet MS" w:cs="Times New Roman"/>
      <w:sz w:val="20"/>
      <w:szCs w:val="20"/>
      <w:lang w:eastAsia="en-GB"/>
    </w:rPr>
  </w:style>
  <w:style w:type="paragraph" w:styleId="ListParagraph">
    <w:name w:val="List Paragraph"/>
    <w:basedOn w:val="Normal"/>
    <w:uiPriority w:val="34"/>
    <w:qFormat/>
    <w:rsid w:val="00334399"/>
    <w:pPr>
      <w:spacing w:after="160" w:line="259" w:lineRule="auto"/>
      <w:ind w:left="720"/>
      <w:contextualSpacing/>
    </w:pPr>
    <w:rPr>
      <w:sz w:val="22"/>
      <w:szCs w:val="22"/>
    </w:rPr>
  </w:style>
  <w:style w:type="table" w:styleId="TableGrid">
    <w:name w:val="Table Grid"/>
    <w:basedOn w:val="TableNormal"/>
    <w:uiPriority w:val="39"/>
    <w:rsid w:val="0033439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FE22C0"/>
    <w:rPr>
      <w:rFonts w:ascii="Arial" w:eastAsia="Times New Roman" w:hAnsi="Arial" w:cs="Arial"/>
      <w:sz w:val="22"/>
      <w:szCs w:val="22"/>
    </w:rPr>
  </w:style>
  <w:style w:type="character" w:styleId="Hyperlink">
    <w:name w:val="Hyperlink"/>
    <w:basedOn w:val="DefaultParagraphFont"/>
    <w:uiPriority w:val="99"/>
    <w:unhideWhenUsed/>
    <w:rsid w:val="007679DA"/>
    <w:rPr>
      <w:color w:val="DC006A" w:themeColor="hyperlink"/>
      <w:u w:val="single"/>
    </w:rPr>
  </w:style>
  <w:style w:type="paragraph" w:customStyle="1" w:styleId="xmsolistparagraph">
    <w:name w:val="x_msolistparagraph"/>
    <w:basedOn w:val="Normal"/>
    <w:rsid w:val="00CD601D"/>
    <w:pPr>
      <w:spacing w:before="100" w:beforeAutospacing="1" w:after="100" w:afterAutospacing="1"/>
    </w:pPr>
    <w:rPr>
      <w:rFonts w:ascii="Calibri" w:hAnsi="Calibri" w:cs="Calibri"/>
      <w:sz w:val="22"/>
      <w:szCs w:val="22"/>
      <w:lang w:eastAsia="en-GB"/>
    </w:rPr>
  </w:style>
  <w:style w:type="paragraph" w:styleId="NormalWeb">
    <w:name w:val="Normal (Web)"/>
    <w:basedOn w:val="Normal"/>
    <w:rsid w:val="00D364BA"/>
    <w:pPr>
      <w:spacing w:before="180" w:after="180"/>
    </w:pPr>
    <w:rPr>
      <w:rFonts w:ascii="Times New Roman" w:eastAsia="Times New Roman" w:hAnsi="Times New Roman" w:cs="Times New Roman"/>
      <w:lang w:eastAsia="en-GB"/>
    </w:rPr>
  </w:style>
  <w:style w:type="character" w:customStyle="1" w:styleId="fullpost1">
    <w:name w:val="fullpost1"/>
    <w:rsid w:val="00D364BA"/>
    <w:rPr>
      <w:vanish w:val="0"/>
      <w:webHidden w:val="0"/>
      <w:specVanish w:val="0"/>
    </w:rPr>
  </w:style>
  <w:style w:type="paragraph" w:customStyle="1" w:styleId="subheadingpink">
    <w:name w:val="subheading pink"/>
    <w:basedOn w:val="Normal"/>
    <w:qFormat/>
    <w:rsid w:val="00474781"/>
    <w:rPr>
      <w:rFonts w:ascii="Arial Rounded MT Bold" w:hAnsi="Arial Rounded MT Bold"/>
      <w:color w:val="DB006A"/>
      <w:sz w:val="28"/>
      <w:szCs w:val="28"/>
    </w:rPr>
  </w:style>
  <w:style w:type="paragraph" w:customStyle="1" w:styleId="List1">
    <w:name w:val="List1"/>
    <w:basedOn w:val="ListParagraph"/>
    <w:qFormat/>
    <w:rsid w:val="00474781"/>
    <w:pPr>
      <w:numPr>
        <w:numId w:val="2"/>
      </w:numPr>
      <w:spacing w:after="0" w:line="240" w:lineRule="auto"/>
    </w:pPr>
    <w:rPr>
      <w:rFonts w:ascii="Arial" w:eastAsia="Calibri" w:hAnsi="Arial" w:cs="Arial"/>
      <w:sz w:val="24"/>
      <w:szCs w:val="24"/>
    </w:rPr>
  </w:style>
  <w:style w:type="paragraph" w:customStyle="1" w:styleId="Heading-blue">
    <w:name w:val="Heading - blue"/>
    <w:basedOn w:val="Normal"/>
    <w:qFormat/>
    <w:rsid w:val="0022451A"/>
    <w:rPr>
      <w:rFonts w:ascii="Arial Rounded MT Bold" w:hAnsi="Arial Rounded MT Bold"/>
      <w:color w:val="237681"/>
      <w:sz w:val="36"/>
      <w:szCs w:val="36"/>
    </w:rPr>
  </w:style>
  <w:style w:type="paragraph" w:customStyle="1" w:styleId="Bodycopy">
    <w:name w:val="Body copy"/>
    <w:basedOn w:val="Normal"/>
    <w:qFormat/>
    <w:rsid w:val="00B55AE8"/>
    <w:rPr>
      <w:rFonts w:ascii="Arial" w:eastAsia="Calibri" w:hAnsi="Arial" w:cs="Arial"/>
    </w:rPr>
  </w:style>
  <w:style w:type="character" w:styleId="UnresolvedMention">
    <w:name w:val="Unresolved Mention"/>
    <w:basedOn w:val="DefaultParagraphFont"/>
    <w:uiPriority w:val="99"/>
    <w:rsid w:val="00320C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960240">
      <w:bodyDiv w:val="1"/>
      <w:marLeft w:val="0"/>
      <w:marRight w:val="0"/>
      <w:marTop w:val="0"/>
      <w:marBottom w:val="0"/>
      <w:divBdr>
        <w:top w:val="none" w:sz="0" w:space="0" w:color="auto"/>
        <w:left w:val="none" w:sz="0" w:space="0" w:color="auto"/>
        <w:bottom w:val="none" w:sz="0" w:space="0" w:color="auto"/>
        <w:right w:val="none" w:sz="0" w:space="0" w:color="auto"/>
      </w:divBdr>
    </w:div>
    <w:div w:id="919172897">
      <w:bodyDiv w:val="1"/>
      <w:marLeft w:val="0"/>
      <w:marRight w:val="0"/>
      <w:marTop w:val="0"/>
      <w:marBottom w:val="0"/>
      <w:divBdr>
        <w:top w:val="none" w:sz="0" w:space="0" w:color="auto"/>
        <w:left w:val="none" w:sz="0" w:space="0" w:color="auto"/>
        <w:bottom w:val="none" w:sz="0" w:space="0" w:color="auto"/>
        <w:right w:val="none" w:sz="0" w:space="0" w:color="auto"/>
      </w:divBdr>
      <w:divsChild>
        <w:div w:id="347370742">
          <w:marLeft w:val="547"/>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38158.pcdn.co/wp-content/uploads/IPS-Employment-Recovery-Stories-2021.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ipsgrow.org.uk/wp-content/uploads/Involving-Clinical-Teams-in-feedback-1.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ipsgrow.org.uk/wp-content/uploads/Measuring-Service-User-Satisfaction.docx"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ipsgrow.org.uk/wp-content/uploads/The-Power-of-Recovery-Storie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IPS Grow">
      <a:dk1>
        <a:sysClr val="windowText" lastClr="000000"/>
      </a:dk1>
      <a:lt1>
        <a:sysClr val="window" lastClr="FFFFFF"/>
      </a:lt1>
      <a:dk2>
        <a:srgbClr val="1D3054"/>
      </a:dk2>
      <a:lt2>
        <a:srgbClr val="E7E6E6"/>
      </a:lt2>
      <a:accent1>
        <a:srgbClr val="1D3054"/>
      </a:accent1>
      <a:accent2>
        <a:srgbClr val="007B90"/>
      </a:accent2>
      <a:accent3>
        <a:srgbClr val="CFCFCF"/>
      </a:accent3>
      <a:accent4>
        <a:srgbClr val="6C6C6C"/>
      </a:accent4>
      <a:accent5>
        <a:srgbClr val="DC006A"/>
      </a:accent5>
      <a:accent6>
        <a:srgbClr val="FFC000"/>
      </a:accent6>
      <a:hlink>
        <a:srgbClr val="DC006A"/>
      </a:hlink>
      <a:folHlink>
        <a:srgbClr val="007B9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E7C40579145D47AD096B118189592C" ma:contentTypeVersion="15" ma:contentTypeDescription="Create a new document." ma:contentTypeScope="" ma:versionID="8ef74975b78d3c0a0d14dbc2d2833b28">
  <xsd:schema xmlns:xsd="http://www.w3.org/2001/XMLSchema" xmlns:xs="http://www.w3.org/2001/XMLSchema" xmlns:p="http://schemas.microsoft.com/office/2006/metadata/properties" xmlns:ns1="http://schemas.microsoft.com/sharepoint/v3" xmlns:ns2="a7c53796-da89-451a-8543-a37965bb4fe4" xmlns:ns3="d1bc3bff-a2fb-416f-80aa-22b7e834232b" targetNamespace="http://schemas.microsoft.com/office/2006/metadata/properties" ma:root="true" ma:fieldsID="7d2c45088f0099a82d3513515f182b62" ns1:_="" ns2:_="" ns3:_="">
    <xsd:import namespace="http://schemas.microsoft.com/sharepoint/v3"/>
    <xsd:import namespace="a7c53796-da89-451a-8543-a37965bb4fe4"/>
    <xsd:import namespace="d1bc3bff-a2fb-416f-80aa-22b7e834232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c53796-da89-451a-8543-a37965bb4f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1bc3bff-a2fb-416f-80aa-22b7e834232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d1bc3bff-a2fb-416f-80aa-22b7e834232b">
      <UserInfo>
        <DisplayName>Martina Gibbons</DisplayName>
        <AccountId>47</AccountId>
        <AccountType/>
      </UserInfo>
      <UserInfo>
        <DisplayName>Gloria Nalumansi</DisplayName>
        <AccountId>241</AccountId>
        <AccountType/>
      </UserInfo>
      <UserInfo>
        <DisplayName>Carolyn Storey</DisplayName>
        <AccountId>155</AccountId>
        <AccountType/>
      </UserInfo>
      <UserInfo>
        <DisplayName>Joss Hardisty</DisplayName>
        <AccountId>77</AccountId>
        <AccountType/>
      </UserInfo>
      <UserInfo>
        <DisplayName>Georgia Saxelby</DisplayName>
        <AccountId>116</AccountId>
        <AccountType/>
      </UserInfo>
      <UserInfo>
        <DisplayName>Lynne Miller</DisplayName>
        <AccountId>25</AccountId>
        <AccountType/>
      </UserInfo>
      <UserInfo>
        <DisplayName>Adele Marshall</DisplayName>
        <AccountId>137</AccountId>
        <AccountType/>
      </UserInfo>
      <UserInfo>
        <DisplayName>Jan Hadfield</DisplayName>
        <AccountId>302</AccountId>
        <AccountType/>
      </UserInfo>
      <UserInfo>
        <DisplayName>Joanne Barber</DisplayName>
        <AccountId>317</AccountId>
        <AccountType/>
      </UserInfo>
      <UserInfo>
        <DisplayName>Julia Stapleton</DisplayName>
        <AccountId>45</AccountId>
        <AccountType/>
      </UserInfo>
      <UserInfo>
        <DisplayName>Stewart Cornelius</DisplayName>
        <AccountId>601</AccountId>
        <AccountType/>
      </UserInfo>
      <UserInfo>
        <DisplayName>Miranda Brennan</DisplayName>
        <AccountId>643</AccountId>
        <AccountType/>
      </UserInfo>
      <UserInfo>
        <DisplayName>Amelia Willett</DisplayName>
        <AccountId>551</AccountId>
        <AccountType/>
      </UserInfo>
    </SharedWithUsers>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71ABD0-F65A-4191-8986-7EAE1AD1AF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7c53796-da89-451a-8543-a37965bb4fe4"/>
    <ds:schemaRef ds:uri="d1bc3bff-a2fb-416f-80aa-22b7e83423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84F036-B9C0-4844-A636-52AAA75F84ED}">
  <ds:schemaRefs>
    <ds:schemaRef ds:uri="http://schemas.microsoft.com/office/2006/documentManagement/types"/>
    <ds:schemaRef ds:uri="http://purl.org/dc/elements/1.1/"/>
    <ds:schemaRef ds:uri="http://purl.org/dc/dcmitype/"/>
    <ds:schemaRef ds:uri="http://purl.org/dc/terms/"/>
    <ds:schemaRef ds:uri="http://www.w3.org/XML/1998/namespace"/>
    <ds:schemaRef ds:uri="http://schemas.microsoft.com/office/2006/metadata/properties"/>
    <ds:schemaRef ds:uri="http://schemas.openxmlformats.org/package/2006/metadata/core-properties"/>
    <ds:schemaRef ds:uri="http://schemas.microsoft.com/sharepoint/v3"/>
    <ds:schemaRef ds:uri="d1bc3bff-a2fb-416f-80aa-22b7e834232b"/>
    <ds:schemaRef ds:uri="http://schemas.microsoft.com/office/infopath/2007/PartnerControls"/>
    <ds:schemaRef ds:uri="a7c53796-da89-451a-8543-a37965bb4fe4"/>
  </ds:schemaRefs>
</ds:datastoreItem>
</file>

<file path=customXml/itemProps3.xml><?xml version="1.0" encoding="utf-8"?>
<ds:datastoreItem xmlns:ds="http://schemas.openxmlformats.org/officeDocument/2006/customXml" ds:itemID="{7456A433-E8EB-4D2B-8E27-9EACEB142587}">
  <ds:schemaRefs>
    <ds:schemaRef ds:uri="http://schemas.openxmlformats.org/officeDocument/2006/bibliography"/>
  </ds:schemaRefs>
</ds:datastoreItem>
</file>

<file path=customXml/itemProps4.xml><?xml version="1.0" encoding="utf-8"?>
<ds:datastoreItem xmlns:ds="http://schemas.openxmlformats.org/officeDocument/2006/customXml" ds:itemID="{F4C2F974-35EB-43B8-A31A-812C6D6D20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439</Words>
  <Characters>2507</Characters>
  <Application>Microsoft Office Word</Application>
  <DocSecurity>0</DocSecurity>
  <Lines>20</Lines>
  <Paragraphs>5</Paragraphs>
  <ScaleCrop>false</ScaleCrop>
  <Company/>
  <LinksUpToDate>false</LinksUpToDate>
  <CharactersWithSpaces>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Ziggy Tuck</dc:creator>
  <cp:keywords/>
  <dc:description/>
  <cp:lastModifiedBy>Gloria Nalumansi</cp:lastModifiedBy>
  <cp:revision>2</cp:revision>
  <dcterms:created xsi:type="dcterms:W3CDTF">2022-04-04T14:25:00Z</dcterms:created>
  <dcterms:modified xsi:type="dcterms:W3CDTF">2022-04-04T14:25:00Z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0x0101001EE7C40579145D47AD096B118189592C</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ies>
</file>