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2E0D7" w14:textId="77777777" w:rsidR="008D5C7A" w:rsidRDefault="008D5C7A" w:rsidP="00B70B02">
      <w:pPr>
        <w:rPr>
          <w:b/>
          <w:bCs/>
        </w:rPr>
      </w:pPr>
    </w:p>
    <w:p w14:paraId="286999B7" w14:textId="4A91756E" w:rsidR="00B70B02" w:rsidRDefault="00B70B02" w:rsidP="00B70B02">
      <w:pPr>
        <w:rPr>
          <w:b/>
          <w:bCs/>
          <w:sz w:val="28"/>
          <w:szCs w:val="28"/>
        </w:rPr>
      </w:pPr>
      <w:r w:rsidRPr="0088397A">
        <w:rPr>
          <w:b/>
          <w:bCs/>
        </w:rPr>
        <w:t xml:space="preserve">Service name: </w:t>
      </w:r>
    </w:p>
    <w:p w14:paraId="763ABDA5" w14:textId="77777777" w:rsidR="00B70B02" w:rsidRDefault="00B70B02" w:rsidP="00B70B02">
      <w:pPr>
        <w:rPr>
          <w:b/>
          <w:bCs/>
        </w:rPr>
      </w:pPr>
    </w:p>
    <w:tbl>
      <w:tblPr>
        <w:tblStyle w:val="TableGrid"/>
        <w:tblW w:w="13950" w:type="dxa"/>
        <w:tblInd w:w="-5" w:type="dxa"/>
        <w:tblLayout w:type="fixed"/>
        <w:tblLook w:val="06A0" w:firstRow="1" w:lastRow="0" w:firstColumn="1" w:lastColumn="0" w:noHBand="1" w:noVBand="1"/>
      </w:tblPr>
      <w:tblGrid>
        <w:gridCol w:w="2985"/>
        <w:gridCol w:w="2010"/>
        <w:gridCol w:w="2175"/>
        <w:gridCol w:w="2385"/>
        <w:gridCol w:w="2250"/>
        <w:gridCol w:w="2145"/>
      </w:tblGrid>
      <w:tr w:rsidR="00B70B02" w14:paraId="75FF8178" w14:textId="77777777" w:rsidTr="009E7471">
        <w:tc>
          <w:tcPr>
            <w:tcW w:w="2985" w:type="dxa"/>
            <w:shd w:val="clear" w:color="auto" w:fill="007B72"/>
          </w:tcPr>
          <w:p w14:paraId="468A5DAD" w14:textId="77777777" w:rsidR="00B70B02" w:rsidRPr="00EE4B14" w:rsidRDefault="00B70B02" w:rsidP="001A5BDA">
            <w:pPr>
              <w:rPr>
                <w:rFonts w:eastAsiaTheme="minorEastAsia"/>
                <w:b/>
                <w:bCs/>
                <w:color w:val="1D3054"/>
              </w:rPr>
            </w:pPr>
            <w:r w:rsidRPr="0088397A">
              <w:rPr>
                <w:rFonts w:eastAsiaTheme="minorEastAsia"/>
                <w:b/>
                <w:bCs/>
              </w:rPr>
              <w:t xml:space="preserve">KPI definition </w:t>
            </w:r>
          </w:p>
        </w:tc>
        <w:tc>
          <w:tcPr>
            <w:tcW w:w="2010" w:type="dxa"/>
            <w:shd w:val="clear" w:color="auto" w:fill="007B72"/>
          </w:tcPr>
          <w:p w14:paraId="45387DB4" w14:textId="2360A872" w:rsidR="00B70B02" w:rsidRDefault="003C5A65" w:rsidP="001A5BDA">
            <w:pPr>
              <w:rPr>
                <w:rFonts w:eastAsiaTheme="minorEastAsia"/>
                <w:b/>
                <w:bCs/>
              </w:rPr>
            </w:pPr>
            <w:r w:rsidRPr="003C5A65">
              <w:rPr>
                <w:b/>
                <w:bCs/>
              </w:rPr>
              <w:t>2020/21</w:t>
            </w:r>
            <w:r>
              <w:t xml:space="preserve"> </w:t>
            </w:r>
            <w:r w:rsidR="00B70B02" w:rsidRPr="0088397A">
              <w:rPr>
                <w:rFonts w:eastAsiaTheme="minorEastAsia"/>
                <w:b/>
                <w:bCs/>
              </w:rPr>
              <w:t>target</w:t>
            </w:r>
          </w:p>
        </w:tc>
        <w:tc>
          <w:tcPr>
            <w:tcW w:w="2175" w:type="dxa"/>
            <w:shd w:val="clear" w:color="auto" w:fill="007B72"/>
          </w:tcPr>
          <w:p w14:paraId="233B43A6" w14:textId="218998A0" w:rsidR="00B70B02" w:rsidRDefault="008E021F" w:rsidP="001A5BDA">
            <w:pPr>
              <w:rPr>
                <w:rFonts w:eastAsiaTheme="minorEastAsia"/>
                <w:b/>
                <w:bCs/>
              </w:rPr>
            </w:pPr>
            <w:r w:rsidRPr="008E021F">
              <w:rPr>
                <w:b/>
                <w:bCs/>
              </w:rPr>
              <w:t>2020/21</w:t>
            </w:r>
            <w:r>
              <w:t xml:space="preserve"> </w:t>
            </w:r>
            <w:r w:rsidR="00B70B02" w:rsidRPr="0088397A">
              <w:rPr>
                <w:rFonts w:eastAsiaTheme="minorEastAsia"/>
                <w:b/>
                <w:bCs/>
              </w:rPr>
              <w:t>actual</w:t>
            </w:r>
          </w:p>
        </w:tc>
        <w:tc>
          <w:tcPr>
            <w:tcW w:w="2385" w:type="dxa"/>
            <w:shd w:val="clear" w:color="auto" w:fill="007B72"/>
          </w:tcPr>
          <w:p w14:paraId="339F084E" w14:textId="69F94D5E" w:rsidR="00B70B02" w:rsidRDefault="00B70B02" w:rsidP="001A5BDA">
            <w:pPr>
              <w:rPr>
                <w:rFonts w:eastAsiaTheme="minorEastAsia"/>
                <w:b/>
                <w:bCs/>
              </w:rPr>
            </w:pPr>
            <w:r w:rsidRPr="0088397A">
              <w:rPr>
                <w:rFonts w:eastAsiaTheme="minorEastAsia"/>
                <w:b/>
                <w:bCs/>
              </w:rPr>
              <w:t>202</w:t>
            </w:r>
            <w:r w:rsidR="008E021F">
              <w:rPr>
                <w:rFonts w:eastAsiaTheme="minorEastAsia"/>
                <w:b/>
                <w:bCs/>
              </w:rPr>
              <w:t>1</w:t>
            </w:r>
            <w:r w:rsidRPr="0088397A">
              <w:rPr>
                <w:rFonts w:eastAsiaTheme="minorEastAsia"/>
                <w:b/>
                <w:bCs/>
              </w:rPr>
              <w:t>/2</w:t>
            </w:r>
            <w:r w:rsidR="008E021F">
              <w:rPr>
                <w:rFonts w:eastAsiaTheme="minorEastAsia"/>
                <w:b/>
                <w:bCs/>
              </w:rPr>
              <w:t>2</w:t>
            </w:r>
            <w:r w:rsidRPr="0088397A">
              <w:rPr>
                <w:rFonts w:eastAsiaTheme="minorEastAsia"/>
                <w:b/>
                <w:bCs/>
              </w:rPr>
              <w:t xml:space="preserve"> target</w:t>
            </w:r>
          </w:p>
        </w:tc>
        <w:tc>
          <w:tcPr>
            <w:tcW w:w="2250" w:type="dxa"/>
            <w:shd w:val="clear" w:color="auto" w:fill="007B72"/>
          </w:tcPr>
          <w:p w14:paraId="770E595F" w14:textId="41394C19" w:rsidR="00B70B02" w:rsidRDefault="00B70B02" w:rsidP="001A5BDA">
            <w:pPr>
              <w:rPr>
                <w:rFonts w:eastAsiaTheme="minorEastAsia"/>
                <w:b/>
                <w:bCs/>
              </w:rPr>
            </w:pPr>
            <w:r w:rsidRPr="0088397A">
              <w:rPr>
                <w:rFonts w:eastAsiaTheme="minorEastAsia"/>
                <w:b/>
                <w:bCs/>
              </w:rPr>
              <w:t>202</w:t>
            </w:r>
            <w:r w:rsidR="008E021F">
              <w:rPr>
                <w:rFonts w:eastAsiaTheme="minorEastAsia"/>
                <w:b/>
                <w:bCs/>
              </w:rPr>
              <w:t>1</w:t>
            </w:r>
            <w:r w:rsidRPr="0088397A">
              <w:rPr>
                <w:rFonts w:eastAsiaTheme="minorEastAsia"/>
                <w:b/>
                <w:bCs/>
              </w:rPr>
              <w:t>/2</w:t>
            </w:r>
            <w:r w:rsidR="008E021F">
              <w:rPr>
                <w:rFonts w:eastAsiaTheme="minorEastAsia"/>
                <w:b/>
                <w:bCs/>
              </w:rPr>
              <w:t>2</w:t>
            </w:r>
            <w:r w:rsidRPr="0088397A">
              <w:rPr>
                <w:rFonts w:eastAsiaTheme="minorEastAsia"/>
                <w:b/>
                <w:bCs/>
              </w:rPr>
              <w:t xml:space="preserve"> actual </w:t>
            </w:r>
          </w:p>
        </w:tc>
        <w:tc>
          <w:tcPr>
            <w:tcW w:w="2145" w:type="dxa"/>
            <w:shd w:val="clear" w:color="auto" w:fill="007B72"/>
          </w:tcPr>
          <w:p w14:paraId="7C8784D3" w14:textId="77777777" w:rsidR="00B70B02" w:rsidRDefault="00B70B02" w:rsidP="001A5BDA">
            <w:pPr>
              <w:rPr>
                <w:rFonts w:eastAsiaTheme="minorEastAsia"/>
                <w:b/>
                <w:bCs/>
              </w:rPr>
            </w:pPr>
            <w:r w:rsidRPr="0088397A">
              <w:rPr>
                <w:rFonts w:eastAsiaTheme="minorEastAsia"/>
                <w:b/>
                <w:bCs/>
              </w:rPr>
              <w:t>Notes</w:t>
            </w:r>
          </w:p>
        </w:tc>
      </w:tr>
      <w:tr w:rsidR="00B70B02" w14:paraId="0CC6144A" w14:textId="77777777" w:rsidTr="0069247D">
        <w:tc>
          <w:tcPr>
            <w:tcW w:w="2985" w:type="dxa"/>
          </w:tcPr>
          <w:p w14:paraId="6616CB4F" w14:textId="77777777" w:rsidR="00B70B02" w:rsidRDefault="00B70B02" w:rsidP="001A5BDA">
            <w:pPr>
              <w:rPr>
                <w:rFonts w:eastAsiaTheme="minorEastAsia"/>
                <w:b/>
                <w:bCs/>
              </w:rPr>
            </w:pPr>
            <w:r w:rsidRPr="47ECED59">
              <w:rPr>
                <w:rFonts w:eastAsiaTheme="minorEastAsia"/>
                <w:b/>
                <w:bCs/>
              </w:rPr>
              <w:t>Number of service users referred to IPS service</w:t>
            </w:r>
          </w:p>
          <w:p w14:paraId="13827323" w14:textId="77777777" w:rsidR="00B70B02" w:rsidRDefault="00B70B02" w:rsidP="001A5BDA">
            <w:pPr>
              <w:rPr>
                <w:rFonts w:eastAsiaTheme="minorEastAsia"/>
                <w:b/>
                <w:bCs/>
              </w:rPr>
            </w:pPr>
            <w:r w:rsidRPr="47ECED59">
              <w:rPr>
                <w:rFonts w:eastAsiaTheme="minorEastAsia"/>
              </w:rPr>
              <w:t>(referred for support, whether they accessed the service or not)</w:t>
            </w:r>
          </w:p>
        </w:tc>
        <w:tc>
          <w:tcPr>
            <w:tcW w:w="2010" w:type="dxa"/>
          </w:tcPr>
          <w:p w14:paraId="0E87CC9A" w14:textId="77777777" w:rsidR="00B70B02" w:rsidRDefault="00B70B02" w:rsidP="001A5BDA"/>
        </w:tc>
        <w:tc>
          <w:tcPr>
            <w:tcW w:w="2175" w:type="dxa"/>
          </w:tcPr>
          <w:p w14:paraId="0AC0DCFB" w14:textId="77777777" w:rsidR="00B70B02" w:rsidRDefault="00B70B02" w:rsidP="001A5BDA"/>
        </w:tc>
        <w:tc>
          <w:tcPr>
            <w:tcW w:w="2385" w:type="dxa"/>
          </w:tcPr>
          <w:p w14:paraId="23EA4308" w14:textId="77777777" w:rsidR="00B70B02" w:rsidRDefault="00B70B02" w:rsidP="001A5BDA"/>
        </w:tc>
        <w:tc>
          <w:tcPr>
            <w:tcW w:w="2250" w:type="dxa"/>
          </w:tcPr>
          <w:p w14:paraId="6D1A4612" w14:textId="77777777" w:rsidR="00B70B02" w:rsidRDefault="00B70B02" w:rsidP="001A5BDA"/>
        </w:tc>
        <w:tc>
          <w:tcPr>
            <w:tcW w:w="2145" w:type="dxa"/>
          </w:tcPr>
          <w:p w14:paraId="23FF1B46" w14:textId="77777777" w:rsidR="00B70B02" w:rsidRDefault="00B70B02" w:rsidP="001A5BDA"/>
        </w:tc>
      </w:tr>
      <w:tr w:rsidR="00B70B02" w14:paraId="5565721F" w14:textId="77777777" w:rsidTr="0069247D">
        <w:tc>
          <w:tcPr>
            <w:tcW w:w="2985" w:type="dxa"/>
          </w:tcPr>
          <w:p w14:paraId="260515C7" w14:textId="77777777" w:rsidR="00B70B02" w:rsidRDefault="00B70B02" w:rsidP="001A5BDA">
            <w:pPr>
              <w:jc w:val="both"/>
              <w:rPr>
                <w:rFonts w:eastAsiaTheme="minorEastAsia"/>
                <w:color w:val="000000" w:themeColor="text1"/>
              </w:rPr>
            </w:pPr>
            <w:r w:rsidRPr="47ECED59">
              <w:rPr>
                <w:rFonts w:eastAsiaTheme="minorEastAsia"/>
                <w:b/>
                <w:bCs/>
                <w:color w:val="000000" w:themeColor="text1"/>
              </w:rPr>
              <w:t>Number of service users who have accessed IPS</w:t>
            </w:r>
          </w:p>
          <w:p w14:paraId="2C21444B" w14:textId="77777777" w:rsidR="00B70B02" w:rsidRDefault="00B70B02" w:rsidP="001A5BDA">
            <w:pPr>
              <w:jc w:val="both"/>
              <w:rPr>
                <w:rFonts w:eastAsiaTheme="minorEastAsia"/>
                <w:b/>
                <w:bCs/>
                <w:color w:val="000000" w:themeColor="text1"/>
              </w:rPr>
            </w:pPr>
            <w:r w:rsidRPr="47ECED59">
              <w:rPr>
                <w:rFonts w:eastAsiaTheme="minorEastAsia"/>
                <w:color w:val="000000" w:themeColor="text1"/>
              </w:rPr>
              <w:t>(referred and received some support from an ES)</w:t>
            </w:r>
          </w:p>
        </w:tc>
        <w:tc>
          <w:tcPr>
            <w:tcW w:w="2010" w:type="dxa"/>
          </w:tcPr>
          <w:p w14:paraId="1345B249" w14:textId="77777777" w:rsidR="00B70B02" w:rsidRDefault="00B70B02" w:rsidP="001A5BDA"/>
        </w:tc>
        <w:tc>
          <w:tcPr>
            <w:tcW w:w="2175" w:type="dxa"/>
          </w:tcPr>
          <w:p w14:paraId="73D56778" w14:textId="77777777" w:rsidR="00B70B02" w:rsidRDefault="00B70B02" w:rsidP="001A5BDA"/>
        </w:tc>
        <w:tc>
          <w:tcPr>
            <w:tcW w:w="2385" w:type="dxa"/>
          </w:tcPr>
          <w:p w14:paraId="5CEF5556" w14:textId="77777777" w:rsidR="00B70B02" w:rsidRDefault="00B70B02" w:rsidP="001A5BDA"/>
        </w:tc>
        <w:tc>
          <w:tcPr>
            <w:tcW w:w="2250" w:type="dxa"/>
          </w:tcPr>
          <w:p w14:paraId="64A9B010" w14:textId="77777777" w:rsidR="00B70B02" w:rsidRDefault="00B70B02" w:rsidP="001A5BDA"/>
        </w:tc>
        <w:tc>
          <w:tcPr>
            <w:tcW w:w="2145" w:type="dxa"/>
          </w:tcPr>
          <w:p w14:paraId="5CD43E43" w14:textId="77777777" w:rsidR="00B70B02" w:rsidRDefault="00B70B02" w:rsidP="001A5BDA"/>
        </w:tc>
      </w:tr>
      <w:tr w:rsidR="00B70B02" w14:paraId="4F985C5B" w14:textId="77777777" w:rsidTr="0069247D">
        <w:tc>
          <w:tcPr>
            <w:tcW w:w="2985" w:type="dxa"/>
          </w:tcPr>
          <w:p w14:paraId="2FD7EAAD" w14:textId="77777777" w:rsidR="00B70B02" w:rsidRDefault="00B70B02" w:rsidP="001A5BDA">
            <w:pPr>
              <w:rPr>
                <w:rFonts w:eastAsiaTheme="minorEastAsia"/>
              </w:rPr>
            </w:pPr>
            <w:r w:rsidRPr="22FBBB69">
              <w:rPr>
                <w:rFonts w:eastAsiaTheme="minorEastAsia"/>
                <w:b/>
                <w:bCs/>
              </w:rPr>
              <w:t>Number of job outcomes</w:t>
            </w:r>
          </w:p>
          <w:p w14:paraId="0952B968" w14:textId="77777777" w:rsidR="00B70B02" w:rsidRDefault="00B70B02" w:rsidP="001A5BDA">
            <w:pPr>
              <w:rPr>
                <w:rFonts w:eastAsiaTheme="minorEastAsia"/>
              </w:rPr>
            </w:pPr>
            <w:r w:rsidRPr="22FBBB69">
              <w:rPr>
                <w:rFonts w:eastAsiaTheme="minorEastAsia"/>
              </w:rPr>
              <w:t>(Total number of outcomes, including multiple jobs for the same person)</w:t>
            </w:r>
          </w:p>
        </w:tc>
        <w:tc>
          <w:tcPr>
            <w:tcW w:w="2010" w:type="dxa"/>
          </w:tcPr>
          <w:p w14:paraId="459F73FE" w14:textId="77777777" w:rsidR="00B70B02" w:rsidRDefault="00B70B02" w:rsidP="001A5BDA"/>
          <w:p w14:paraId="1131AD5F" w14:textId="77777777" w:rsidR="00B70B02" w:rsidRDefault="00B70B02" w:rsidP="001A5BDA"/>
          <w:p w14:paraId="39D4BDAD" w14:textId="77777777" w:rsidR="00B70B02" w:rsidRDefault="00B70B02" w:rsidP="001A5BDA"/>
        </w:tc>
        <w:tc>
          <w:tcPr>
            <w:tcW w:w="2175" w:type="dxa"/>
          </w:tcPr>
          <w:p w14:paraId="317D571D" w14:textId="77777777" w:rsidR="00B70B02" w:rsidRDefault="00B70B02" w:rsidP="001A5BDA"/>
        </w:tc>
        <w:tc>
          <w:tcPr>
            <w:tcW w:w="2385" w:type="dxa"/>
          </w:tcPr>
          <w:p w14:paraId="3083AF08" w14:textId="77777777" w:rsidR="00B70B02" w:rsidRDefault="00B70B02" w:rsidP="001A5BDA"/>
        </w:tc>
        <w:tc>
          <w:tcPr>
            <w:tcW w:w="2250" w:type="dxa"/>
          </w:tcPr>
          <w:p w14:paraId="46DE81EC" w14:textId="77777777" w:rsidR="00B70B02" w:rsidRDefault="00B70B02" w:rsidP="001A5BDA"/>
        </w:tc>
        <w:tc>
          <w:tcPr>
            <w:tcW w:w="2145" w:type="dxa"/>
          </w:tcPr>
          <w:p w14:paraId="612B2787" w14:textId="77777777" w:rsidR="00B70B02" w:rsidRDefault="00B70B02" w:rsidP="001A5BDA"/>
        </w:tc>
      </w:tr>
      <w:tr w:rsidR="00B70B02" w14:paraId="33750CF0" w14:textId="77777777" w:rsidTr="0069247D">
        <w:tc>
          <w:tcPr>
            <w:tcW w:w="2985" w:type="dxa"/>
          </w:tcPr>
          <w:p w14:paraId="231BE1A2" w14:textId="77777777" w:rsidR="00B70B02" w:rsidRDefault="00B70B02" w:rsidP="001A5BDA">
            <w:pPr>
              <w:rPr>
                <w:rFonts w:eastAsiaTheme="minorEastAsia"/>
                <w:b/>
                <w:bCs/>
              </w:rPr>
            </w:pPr>
            <w:r w:rsidRPr="22FBBB69">
              <w:rPr>
                <w:rFonts w:eastAsiaTheme="minorEastAsia"/>
                <w:b/>
                <w:bCs/>
              </w:rPr>
              <w:t xml:space="preserve">Number of </w:t>
            </w:r>
            <w:r w:rsidRPr="22FBBB69">
              <w:rPr>
                <w:rFonts w:eastAsiaTheme="minorEastAsia"/>
                <w:b/>
                <w:bCs/>
                <w:u w:val="single"/>
              </w:rPr>
              <w:t>people</w:t>
            </w:r>
            <w:r w:rsidRPr="22FBBB69">
              <w:rPr>
                <w:rFonts w:eastAsiaTheme="minorEastAsia"/>
                <w:b/>
                <w:bCs/>
              </w:rPr>
              <w:t xml:space="preserve"> moved into work</w:t>
            </w:r>
          </w:p>
          <w:p w14:paraId="7FABBDC4" w14:textId="77777777" w:rsidR="00B70B02" w:rsidRDefault="00B70B02" w:rsidP="001A5BDA">
            <w:pPr>
              <w:rPr>
                <w:rFonts w:eastAsiaTheme="minorEastAsia"/>
              </w:rPr>
            </w:pPr>
            <w:r w:rsidRPr="22FBBB69">
              <w:rPr>
                <w:rFonts w:eastAsiaTheme="minorEastAsia"/>
              </w:rPr>
              <w:t>(How many people have been supported to start a job)</w:t>
            </w:r>
          </w:p>
        </w:tc>
        <w:tc>
          <w:tcPr>
            <w:tcW w:w="2010" w:type="dxa"/>
          </w:tcPr>
          <w:p w14:paraId="7A9C1810" w14:textId="77777777" w:rsidR="00B70B02" w:rsidRDefault="00B70B02" w:rsidP="001A5BDA"/>
        </w:tc>
        <w:tc>
          <w:tcPr>
            <w:tcW w:w="2175" w:type="dxa"/>
          </w:tcPr>
          <w:p w14:paraId="5154146C" w14:textId="77777777" w:rsidR="00B70B02" w:rsidRDefault="00B70B02" w:rsidP="001A5BDA"/>
        </w:tc>
        <w:tc>
          <w:tcPr>
            <w:tcW w:w="2385" w:type="dxa"/>
          </w:tcPr>
          <w:p w14:paraId="21A061C1" w14:textId="77777777" w:rsidR="00B70B02" w:rsidRDefault="00B70B02" w:rsidP="001A5BDA"/>
        </w:tc>
        <w:tc>
          <w:tcPr>
            <w:tcW w:w="2250" w:type="dxa"/>
          </w:tcPr>
          <w:p w14:paraId="20D2FFE2" w14:textId="77777777" w:rsidR="00B70B02" w:rsidRDefault="00B70B02" w:rsidP="001A5BDA"/>
        </w:tc>
        <w:tc>
          <w:tcPr>
            <w:tcW w:w="2145" w:type="dxa"/>
          </w:tcPr>
          <w:p w14:paraId="59AF419D" w14:textId="77777777" w:rsidR="00B70B02" w:rsidRDefault="00B70B02" w:rsidP="001A5BDA"/>
        </w:tc>
      </w:tr>
      <w:tr w:rsidR="00B70B02" w14:paraId="65951996" w14:textId="77777777" w:rsidTr="0069247D">
        <w:tc>
          <w:tcPr>
            <w:tcW w:w="2985" w:type="dxa"/>
          </w:tcPr>
          <w:p w14:paraId="2C7E120E" w14:textId="77777777" w:rsidR="00B70B02" w:rsidRDefault="00B70B02" w:rsidP="001A5BDA">
            <w:pPr>
              <w:rPr>
                <w:rFonts w:eastAsiaTheme="minorEastAsia"/>
                <w:b/>
                <w:bCs/>
              </w:rPr>
            </w:pPr>
            <w:r w:rsidRPr="2F876A9B">
              <w:rPr>
                <w:rFonts w:eastAsiaTheme="minorEastAsia"/>
                <w:b/>
                <w:bCs/>
              </w:rPr>
              <w:t xml:space="preserve">Number of 13-week </w:t>
            </w:r>
            <w:proofErr w:type="spellStart"/>
            <w:r w:rsidRPr="2F876A9B">
              <w:rPr>
                <w:rFonts w:eastAsiaTheme="minorEastAsia"/>
                <w:b/>
                <w:bCs/>
              </w:rPr>
              <w:t>sustainments</w:t>
            </w:r>
            <w:proofErr w:type="spellEnd"/>
          </w:p>
        </w:tc>
        <w:tc>
          <w:tcPr>
            <w:tcW w:w="2010" w:type="dxa"/>
          </w:tcPr>
          <w:p w14:paraId="7B8765C5" w14:textId="77777777" w:rsidR="00B70B02" w:rsidRDefault="00B70B02" w:rsidP="001A5BDA"/>
          <w:p w14:paraId="145829BC" w14:textId="77777777" w:rsidR="00B70B02" w:rsidRDefault="00B70B02" w:rsidP="001A5BDA"/>
          <w:p w14:paraId="1545CBD2" w14:textId="77777777" w:rsidR="00B70B02" w:rsidRDefault="00B70B02" w:rsidP="001A5BDA"/>
        </w:tc>
        <w:tc>
          <w:tcPr>
            <w:tcW w:w="2175" w:type="dxa"/>
          </w:tcPr>
          <w:p w14:paraId="31A8E572" w14:textId="77777777" w:rsidR="00B70B02" w:rsidRDefault="00B70B02" w:rsidP="001A5BDA"/>
        </w:tc>
        <w:tc>
          <w:tcPr>
            <w:tcW w:w="2385" w:type="dxa"/>
          </w:tcPr>
          <w:p w14:paraId="37771C0F" w14:textId="77777777" w:rsidR="00B70B02" w:rsidRDefault="00B70B02" w:rsidP="001A5BDA"/>
        </w:tc>
        <w:tc>
          <w:tcPr>
            <w:tcW w:w="2250" w:type="dxa"/>
          </w:tcPr>
          <w:p w14:paraId="6F7C3686" w14:textId="77777777" w:rsidR="00B70B02" w:rsidRDefault="00B70B02" w:rsidP="001A5BDA"/>
        </w:tc>
        <w:tc>
          <w:tcPr>
            <w:tcW w:w="2145" w:type="dxa"/>
          </w:tcPr>
          <w:p w14:paraId="0B44B309" w14:textId="77777777" w:rsidR="00B70B02" w:rsidRDefault="00B70B02" w:rsidP="001A5BDA"/>
        </w:tc>
      </w:tr>
      <w:tr w:rsidR="00B70B02" w14:paraId="680FAE04" w14:textId="77777777" w:rsidTr="0069247D">
        <w:tc>
          <w:tcPr>
            <w:tcW w:w="2985" w:type="dxa"/>
          </w:tcPr>
          <w:p w14:paraId="24038DF9" w14:textId="77777777" w:rsidR="00B70B02" w:rsidRDefault="00B70B02" w:rsidP="001A5BDA">
            <w:pPr>
              <w:rPr>
                <w:rFonts w:eastAsiaTheme="minorEastAsia"/>
                <w:b/>
                <w:bCs/>
              </w:rPr>
            </w:pPr>
            <w:r w:rsidRPr="2F876A9B">
              <w:rPr>
                <w:rFonts w:eastAsiaTheme="minorEastAsia"/>
                <w:b/>
                <w:bCs/>
              </w:rPr>
              <w:t xml:space="preserve">Number of 26-week </w:t>
            </w:r>
            <w:proofErr w:type="spellStart"/>
            <w:r w:rsidRPr="2F876A9B">
              <w:rPr>
                <w:rFonts w:eastAsiaTheme="minorEastAsia"/>
                <w:b/>
                <w:bCs/>
              </w:rPr>
              <w:t>sustainments</w:t>
            </w:r>
            <w:proofErr w:type="spellEnd"/>
          </w:p>
        </w:tc>
        <w:tc>
          <w:tcPr>
            <w:tcW w:w="2010" w:type="dxa"/>
          </w:tcPr>
          <w:p w14:paraId="376A5450" w14:textId="77777777" w:rsidR="00B70B02" w:rsidRDefault="00B70B02" w:rsidP="001A5BDA"/>
          <w:p w14:paraId="05314626" w14:textId="77777777" w:rsidR="00B70B02" w:rsidRDefault="00B70B02" w:rsidP="001A5BDA"/>
          <w:p w14:paraId="4E5CE56A" w14:textId="77777777" w:rsidR="00B70B02" w:rsidRDefault="00B70B02" w:rsidP="001A5BDA"/>
        </w:tc>
        <w:tc>
          <w:tcPr>
            <w:tcW w:w="2175" w:type="dxa"/>
          </w:tcPr>
          <w:p w14:paraId="5CD9E388" w14:textId="77777777" w:rsidR="00B70B02" w:rsidRDefault="00B70B02" w:rsidP="001A5BDA"/>
        </w:tc>
        <w:tc>
          <w:tcPr>
            <w:tcW w:w="2385" w:type="dxa"/>
          </w:tcPr>
          <w:p w14:paraId="2DFAB1F2" w14:textId="77777777" w:rsidR="00B70B02" w:rsidRDefault="00B70B02" w:rsidP="001A5BDA"/>
        </w:tc>
        <w:tc>
          <w:tcPr>
            <w:tcW w:w="2250" w:type="dxa"/>
          </w:tcPr>
          <w:p w14:paraId="05896D14" w14:textId="77777777" w:rsidR="00B70B02" w:rsidRDefault="00B70B02" w:rsidP="001A5BDA"/>
        </w:tc>
        <w:tc>
          <w:tcPr>
            <w:tcW w:w="2145" w:type="dxa"/>
          </w:tcPr>
          <w:p w14:paraId="042A5BC8" w14:textId="77777777" w:rsidR="00B70B02" w:rsidRDefault="00B70B02" w:rsidP="001A5BDA"/>
        </w:tc>
      </w:tr>
    </w:tbl>
    <w:p w14:paraId="3C93CFA8" w14:textId="77777777" w:rsidR="00B70B02" w:rsidRDefault="00B70B02" w:rsidP="00B70B02"/>
    <w:p w14:paraId="348014FB" w14:textId="77777777" w:rsidR="008D5C7A" w:rsidRDefault="008D5C7A" w:rsidP="00B70B02">
      <w:pPr>
        <w:rPr>
          <w:b/>
          <w:bCs/>
        </w:rPr>
      </w:pPr>
    </w:p>
    <w:p w14:paraId="2C77D154" w14:textId="77777777" w:rsidR="008D5C7A" w:rsidRDefault="008D5C7A" w:rsidP="00B70B02">
      <w:pPr>
        <w:rPr>
          <w:b/>
          <w:bCs/>
        </w:rPr>
      </w:pPr>
    </w:p>
    <w:p w14:paraId="068F324C" w14:textId="77777777" w:rsidR="008D5C7A" w:rsidRDefault="008D5C7A" w:rsidP="00B70B02">
      <w:pPr>
        <w:rPr>
          <w:b/>
          <w:bCs/>
        </w:rPr>
      </w:pPr>
    </w:p>
    <w:p w14:paraId="32F75624" w14:textId="77777777" w:rsidR="008D5C7A" w:rsidRDefault="008D5C7A" w:rsidP="00B70B02">
      <w:pPr>
        <w:rPr>
          <w:b/>
          <w:bCs/>
        </w:rPr>
      </w:pPr>
    </w:p>
    <w:p w14:paraId="6A45A820" w14:textId="77777777" w:rsidR="008D5C7A" w:rsidRDefault="008D5C7A" w:rsidP="00B70B02">
      <w:pPr>
        <w:rPr>
          <w:b/>
          <w:bCs/>
        </w:rPr>
      </w:pPr>
    </w:p>
    <w:p w14:paraId="47288419" w14:textId="77777777" w:rsidR="008D5C7A" w:rsidRDefault="008D5C7A" w:rsidP="00B70B02">
      <w:pPr>
        <w:rPr>
          <w:b/>
          <w:bCs/>
        </w:rPr>
      </w:pPr>
    </w:p>
    <w:p w14:paraId="0D9231B5" w14:textId="786088CC" w:rsidR="00B70B02" w:rsidRDefault="00B70B02" w:rsidP="00B70B02">
      <w:pPr>
        <w:rPr>
          <w:b/>
          <w:bCs/>
        </w:rPr>
      </w:pPr>
      <w:r w:rsidRPr="2F876A9B">
        <w:rPr>
          <w:b/>
          <w:bCs/>
        </w:rPr>
        <w:t>Fidelity items to calculate</w:t>
      </w:r>
    </w:p>
    <w:p w14:paraId="2A6CF285" w14:textId="77777777" w:rsidR="008D5C7A" w:rsidRDefault="008D5C7A" w:rsidP="00B70B02"/>
    <w:tbl>
      <w:tblPr>
        <w:tblStyle w:val="TableGrid"/>
        <w:tblW w:w="0" w:type="auto"/>
        <w:tblLayout w:type="fixed"/>
        <w:tblLook w:val="06A0" w:firstRow="1" w:lastRow="0" w:firstColumn="1" w:lastColumn="0" w:noHBand="1" w:noVBand="1"/>
      </w:tblPr>
      <w:tblGrid>
        <w:gridCol w:w="2535"/>
        <w:gridCol w:w="5955"/>
        <w:gridCol w:w="5460"/>
      </w:tblGrid>
      <w:tr w:rsidR="00B70B02" w14:paraId="4AE29389" w14:textId="77777777" w:rsidTr="00FB4310">
        <w:tc>
          <w:tcPr>
            <w:tcW w:w="2535" w:type="dxa"/>
            <w:shd w:val="clear" w:color="auto" w:fill="007B72"/>
          </w:tcPr>
          <w:p w14:paraId="3C899FC8" w14:textId="77777777" w:rsidR="00B70B02" w:rsidRPr="00FB4310" w:rsidRDefault="00B70B02" w:rsidP="001A5BDA">
            <w:pPr>
              <w:rPr>
                <w:b/>
                <w:bCs/>
                <w:color w:val="007B72"/>
              </w:rPr>
            </w:pPr>
            <w:r w:rsidRPr="2F876A9B">
              <w:rPr>
                <w:b/>
                <w:bCs/>
              </w:rPr>
              <w:t>Fidelity item</w:t>
            </w:r>
          </w:p>
        </w:tc>
        <w:tc>
          <w:tcPr>
            <w:tcW w:w="5955" w:type="dxa"/>
            <w:shd w:val="clear" w:color="auto" w:fill="007B72"/>
          </w:tcPr>
          <w:p w14:paraId="06C389E3" w14:textId="77777777" w:rsidR="00B70B02" w:rsidRDefault="00B70B02" w:rsidP="001A5BDA">
            <w:pPr>
              <w:rPr>
                <w:b/>
                <w:bCs/>
              </w:rPr>
            </w:pPr>
            <w:r w:rsidRPr="2F876A9B">
              <w:rPr>
                <w:b/>
                <w:bCs/>
              </w:rPr>
              <w:t>How to calculate</w:t>
            </w:r>
          </w:p>
        </w:tc>
        <w:tc>
          <w:tcPr>
            <w:tcW w:w="5460" w:type="dxa"/>
            <w:shd w:val="clear" w:color="auto" w:fill="007B72"/>
          </w:tcPr>
          <w:p w14:paraId="168D6EDB" w14:textId="77777777" w:rsidR="00B70B02" w:rsidRDefault="00B70B02" w:rsidP="001A5BDA">
            <w:pPr>
              <w:rPr>
                <w:b/>
                <w:bCs/>
              </w:rPr>
            </w:pPr>
            <w:r w:rsidRPr="2F876A9B">
              <w:rPr>
                <w:b/>
                <w:bCs/>
              </w:rPr>
              <w:t>Calculation</w:t>
            </w:r>
          </w:p>
        </w:tc>
      </w:tr>
      <w:tr w:rsidR="00B70B02" w14:paraId="4F16CEA2" w14:textId="77777777" w:rsidTr="001A5BDA">
        <w:tc>
          <w:tcPr>
            <w:tcW w:w="2535" w:type="dxa"/>
          </w:tcPr>
          <w:p w14:paraId="7142CFA6" w14:textId="77777777" w:rsidR="00B70B02" w:rsidRDefault="00B70B02" w:rsidP="001A5BDA">
            <w:pPr>
              <w:rPr>
                <w:b/>
                <w:bCs/>
              </w:rPr>
            </w:pPr>
            <w:r w:rsidRPr="2F876A9B">
              <w:rPr>
                <w:b/>
                <w:bCs/>
              </w:rPr>
              <w:t>Integration with MH treatment team through team assignment</w:t>
            </w:r>
          </w:p>
        </w:tc>
        <w:tc>
          <w:tcPr>
            <w:tcW w:w="5955" w:type="dxa"/>
          </w:tcPr>
          <w:p w14:paraId="2B250E30" w14:textId="77777777" w:rsidR="00B70B02" w:rsidRDefault="00B70B02" w:rsidP="001A5BDA">
            <w:r>
              <w:t>For ES being reviewed, use their caseload list to calculate the percentage of referrals they have received from each MH team they are assigned to.</w:t>
            </w:r>
          </w:p>
          <w:p w14:paraId="479E1D15" w14:textId="77777777" w:rsidR="00B70B02" w:rsidRDefault="00B70B02" w:rsidP="001A5BDA"/>
          <w:p w14:paraId="17CE79B6" w14:textId="77777777" w:rsidR="00B70B02" w:rsidRDefault="00B70B02" w:rsidP="001A5BDA">
            <w:r>
              <w:t>E.g. 30% of referrals are from North CMHT, 55% of referrals from West CMHT &amp; 15% from South CMHT</w:t>
            </w:r>
          </w:p>
        </w:tc>
        <w:tc>
          <w:tcPr>
            <w:tcW w:w="5460" w:type="dxa"/>
          </w:tcPr>
          <w:p w14:paraId="671FEEBE" w14:textId="77777777" w:rsidR="00B70B02" w:rsidRDefault="00B70B02" w:rsidP="001A5BDA"/>
        </w:tc>
      </w:tr>
      <w:tr w:rsidR="00B70B02" w14:paraId="509FADD8" w14:textId="77777777" w:rsidTr="001A5BDA">
        <w:tc>
          <w:tcPr>
            <w:tcW w:w="2535" w:type="dxa"/>
          </w:tcPr>
          <w:p w14:paraId="3901EE00" w14:textId="77777777" w:rsidR="00B70B02" w:rsidRDefault="00B70B02" w:rsidP="001A5BDA">
            <w:pPr>
              <w:rPr>
                <w:b/>
                <w:bCs/>
              </w:rPr>
            </w:pPr>
            <w:r w:rsidRPr="2F876A9B">
              <w:rPr>
                <w:b/>
                <w:bCs/>
              </w:rPr>
              <w:t>Frequency of employer contact</w:t>
            </w:r>
          </w:p>
        </w:tc>
        <w:tc>
          <w:tcPr>
            <w:tcW w:w="5955" w:type="dxa"/>
          </w:tcPr>
          <w:p w14:paraId="1A1444FA" w14:textId="77777777" w:rsidR="00B70B02" w:rsidRDefault="00B70B02" w:rsidP="001A5BDA">
            <w:r>
              <w:t xml:space="preserve">Calculate the number of employer contacts made by each ES in an 8-week period. Divide the number of contacts by the number of weeks. </w:t>
            </w:r>
          </w:p>
          <w:p w14:paraId="16A6EF88" w14:textId="77777777" w:rsidR="00B70B02" w:rsidRDefault="00B70B02" w:rsidP="001A5BDA"/>
          <w:p w14:paraId="1D3FFD8A" w14:textId="77777777" w:rsidR="00B70B02" w:rsidRDefault="00B70B02" w:rsidP="001A5BDA">
            <w:r>
              <w:t>E.g. ES 1 made 42 contacts in 8 weeks, ES 2 made 24 contacts in 8 weeks. Total of 66 contacts made in 16 weeks = 4.1, round down to 4 contacts per week.</w:t>
            </w:r>
          </w:p>
          <w:p w14:paraId="3AEE5566" w14:textId="77777777" w:rsidR="00B70B02" w:rsidRDefault="00B70B02" w:rsidP="001A5BDA"/>
          <w:p w14:paraId="644F01B8" w14:textId="77777777" w:rsidR="00B70B02" w:rsidRDefault="00B70B02" w:rsidP="00A77CB0">
            <w:pPr>
              <w:pStyle w:val="ListParagraph"/>
              <w:numPr>
                <w:ilvl w:val="0"/>
                <w:numId w:val="2"/>
              </w:numPr>
              <w:spacing w:after="0" w:line="240" w:lineRule="auto"/>
              <w:rPr>
                <w:rFonts w:eastAsiaTheme="minorEastAsia"/>
              </w:rPr>
            </w:pPr>
            <w:r>
              <w:t>Check IPS fidelity manual to determine types of employer contacts to be included in the calculation of this item</w:t>
            </w:r>
          </w:p>
        </w:tc>
        <w:tc>
          <w:tcPr>
            <w:tcW w:w="5460" w:type="dxa"/>
          </w:tcPr>
          <w:p w14:paraId="4601DD9D" w14:textId="77777777" w:rsidR="00B70B02" w:rsidRDefault="00B70B02" w:rsidP="001A5BDA"/>
        </w:tc>
      </w:tr>
      <w:tr w:rsidR="00B70B02" w14:paraId="1A86051B" w14:textId="77777777" w:rsidTr="001A5BDA">
        <w:tc>
          <w:tcPr>
            <w:tcW w:w="2535" w:type="dxa"/>
          </w:tcPr>
          <w:p w14:paraId="18DD2132" w14:textId="77777777" w:rsidR="00B70B02" w:rsidRDefault="00B70B02" w:rsidP="001A5BDA">
            <w:pPr>
              <w:rPr>
                <w:b/>
                <w:bCs/>
              </w:rPr>
            </w:pPr>
            <w:r w:rsidRPr="2F876A9B">
              <w:rPr>
                <w:b/>
                <w:bCs/>
              </w:rPr>
              <w:t>Rapid job search</w:t>
            </w:r>
          </w:p>
        </w:tc>
        <w:tc>
          <w:tcPr>
            <w:tcW w:w="5955" w:type="dxa"/>
          </w:tcPr>
          <w:p w14:paraId="764F39F3" w14:textId="77777777" w:rsidR="00B70B02" w:rsidRDefault="00B70B02" w:rsidP="001A5BDA">
            <w:r>
              <w:t xml:space="preserve">For each client, calculate the number of days between their VP start and first face-to-face employer contact (either by the ES, client, or both together). Use this list of numbers to calculate the median number of days. </w:t>
            </w:r>
          </w:p>
          <w:p w14:paraId="586F27B8" w14:textId="77777777" w:rsidR="00B70B02" w:rsidRDefault="00B70B02" w:rsidP="001A5BDA"/>
          <w:p w14:paraId="3B53B535" w14:textId="77777777" w:rsidR="00B70B02" w:rsidRDefault="00B70B02" w:rsidP="001A5BDA">
            <w:r>
              <w:t xml:space="preserve">E.g. 2 6 7 8 21 22 </w:t>
            </w:r>
            <w:r w:rsidRPr="2F876A9B">
              <w:rPr>
                <w:highlight w:val="yellow"/>
              </w:rPr>
              <w:t>33</w:t>
            </w:r>
            <w:r>
              <w:t xml:space="preserve"> 39 44 50 55 57 94</w:t>
            </w:r>
          </w:p>
          <w:p w14:paraId="155B734B" w14:textId="77777777" w:rsidR="00B70B02" w:rsidRDefault="00B70B02" w:rsidP="001A5BDA"/>
          <w:p w14:paraId="7062D132" w14:textId="77777777" w:rsidR="00B70B02" w:rsidRDefault="00B70B02" w:rsidP="001A5BDA">
            <w:r>
              <w:t>Median is 33 days</w:t>
            </w:r>
          </w:p>
        </w:tc>
        <w:tc>
          <w:tcPr>
            <w:tcW w:w="5460" w:type="dxa"/>
          </w:tcPr>
          <w:p w14:paraId="1A0059E9" w14:textId="77777777" w:rsidR="00B70B02" w:rsidRDefault="00B70B02" w:rsidP="001A5BDA"/>
        </w:tc>
      </w:tr>
      <w:tr w:rsidR="00B70B02" w14:paraId="7F02FB36" w14:textId="77777777" w:rsidTr="001A5BDA">
        <w:tc>
          <w:tcPr>
            <w:tcW w:w="2535" w:type="dxa"/>
          </w:tcPr>
          <w:p w14:paraId="227E9EE6" w14:textId="77777777" w:rsidR="00B70B02" w:rsidRDefault="00B70B02" w:rsidP="001A5BDA">
            <w:pPr>
              <w:rPr>
                <w:b/>
                <w:bCs/>
              </w:rPr>
            </w:pPr>
            <w:r w:rsidRPr="2F876A9B">
              <w:rPr>
                <w:b/>
                <w:bCs/>
              </w:rPr>
              <w:t>Diversity of job types</w:t>
            </w:r>
          </w:p>
        </w:tc>
        <w:tc>
          <w:tcPr>
            <w:tcW w:w="5955" w:type="dxa"/>
          </w:tcPr>
          <w:p w14:paraId="6EA298F8" w14:textId="77777777" w:rsidR="00B70B02" w:rsidRDefault="00B70B02" w:rsidP="001A5BDA">
            <w:r>
              <w:t xml:space="preserve">Make a list of job titles for those currently employed. If a title appears twice, the score is not affected but if it appears three </w:t>
            </w:r>
            <w:r>
              <w:lastRenderedPageBreak/>
              <w:t>or more times, the score is affected. Calculate the percentage of diverse jobs.</w:t>
            </w:r>
          </w:p>
          <w:p w14:paraId="6ED363DE" w14:textId="77777777" w:rsidR="00B70B02" w:rsidRDefault="00B70B02" w:rsidP="001A5BDA"/>
          <w:p w14:paraId="3EAB2C91" w14:textId="77777777" w:rsidR="00B70B02" w:rsidRDefault="00B70B02" w:rsidP="001A5BDA">
            <w:r>
              <w:t xml:space="preserve">E.g. Swimming instructor, Teaching assistant, Cashier, Dishwasher, Dishwasher, Accountant, Dog walker, Stocker, Stocker, </w:t>
            </w:r>
            <w:r w:rsidRPr="2F876A9B">
              <w:rPr>
                <w:strike/>
              </w:rPr>
              <w:t>Stocker</w:t>
            </w:r>
            <w:r>
              <w:t>. There are 9 diverse job types and 10 jobs so 9 divided by 10 = 0.9 and therefore 90% of job types are diverse.</w:t>
            </w:r>
          </w:p>
        </w:tc>
        <w:tc>
          <w:tcPr>
            <w:tcW w:w="5460" w:type="dxa"/>
          </w:tcPr>
          <w:p w14:paraId="47D98653" w14:textId="77777777" w:rsidR="00B70B02" w:rsidRDefault="00B70B02" w:rsidP="001A5BDA"/>
        </w:tc>
      </w:tr>
      <w:tr w:rsidR="00B70B02" w14:paraId="5A57A068" w14:textId="77777777" w:rsidTr="001A5BDA">
        <w:tc>
          <w:tcPr>
            <w:tcW w:w="2535" w:type="dxa"/>
          </w:tcPr>
          <w:p w14:paraId="306C3763" w14:textId="77777777" w:rsidR="00B70B02" w:rsidRDefault="00B70B02" w:rsidP="001A5BDA">
            <w:pPr>
              <w:rPr>
                <w:b/>
                <w:bCs/>
              </w:rPr>
            </w:pPr>
            <w:r w:rsidRPr="2F876A9B">
              <w:rPr>
                <w:b/>
                <w:bCs/>
              </w:rPr>
              <w:t>Diversity of employers</w:t>
            </w:r>
          </w:p>
        </w:tc>
        <w:tc>
          <w:tcPr>
            <w:tcW w:w="5955" w:type="dxa"/>
          </w:tcPr>
          <w:p w14:paraId="429592AD" w14:textId="77777777" w:rsidR="00B70B02" w:rsidRDefault="00B70B02" w:rsidP="001A5BDA">
            <w:r>
              <w:t>As above, however using a list of employers rather than job types.</w:t>
            </w:r>
          </w:p>
          <w:p w14:paraId="7F28DC26" w14:textId="77777777" w:rsidR="00B70B02" w:rsidRDefault="00B70B02" w:rsidP="001A5BDA"/>
        </w:tc>
        <w:tc>
          <w:tcPr>
            <w:tcW w:w="5460" w:type="dxa"/>
          </w:tcPr>
          <w:p w14:paraId="5D928DD2" w14:textId="77777777" w:rsidR="00B70B02" w:rsidRDefault="00B70B02" w:rsidP="001A5BDA"/>
        </w:tc>
      </w:tr>
      <w:tr w:rsidR="00B70B02" w14:paraId="41E0EA8A" w14:textId="77777777" w:rsidTr="001A5BDA">
        <w:tc>
          <w:tcPr>
            <w:tcW w:w="2535" w:type="dxa"/>
          </w:tcPr>
          <w:p w14:paraId="6EB19DEE" w14:textId="77777777" w:rsidR="00B70B02" w:rsidRDefault="00B70B02" w:rsidP="001A5BDA">
            <w:pPr>
              <w:rPr>
                <w:b/>
                <w:bCs/>
              </w:rPr>
            </w:pPr>
            <w:r w:rsidRPr="2F876A9B">
              <w:rPr>
                <w:b/>
                <w:bCs/>
              </w:rPr>
              <w:t>Competitive jobs</w:t>
            </w:r>
          </w:p>
        </w:tc>
        <w:tc>
          <w:tcPr>
            <w:tcW w:w="5955" w:type="dxa"/>
          </w:tcPr>
          <w:p w14:paraId="2F049FBC" w14:textId="77777777" w:rsidR="00B70B02" w:rsidRDefault="00B70B02" w:rsidP="001A5BDA">
            <w:r>
              <w:t xml:space="preserve">Use the list of clients employed from each ES’s caseload to determine the percentage of competitive jobs. </w:t>
            </w:r>
          </w:p>
          <w:p w14:paraId="5F70B4E7" w14:textId="77777777" w:rsidR="00B70B02" w:rsidRDefault="00B70B02" w:rsidP="001A5BDA"/>
          <w:p w14:paraId="01D8F84F" w14:textId="77777777" w:rsidR="00B70B02" w:rsidRDefault="00B70B02" w:rsidP="001A5BDA">
            <w:r>
              <w:t>E.g. 10 clients are employed. Nine have competitive jobs and one has a temporary volunteer position. 9 competitive jobs divided by 10 total jobs = 0.9 therefore 90%</w:t>
            </w:r>
          </w:p>
        </w:tc>
        <w:tc>
          <w:tcPr>
            <w:tcW w:w="5460" w:type="dxa"/>
          </w:tcPr>
          <w:p w14:paraId="7BBAA1DF" w14:textId="77777777" w:rsidR="00B70B02" w:rsidRDefault="00B70B02" w:rsidP="001A5BDA"/>
        </w:tc>
      </w:tr>
      <w:tr w:rsidR="00B70B02" w14:paraId="529529AA" w14:textId="77777777" w:rsidTr="001A5BDA">
        <w:tc>
          <w:tcPr>
            <w:tcW w:w="2535" w:type="dxa"/>
          </w:tcPr>
          <w:p w14:paraId="6C928AB8" w14:textId="77777777" w:rsidR="00B70B02" w:rsidRDefault="00B70B02" w:rsidP="001A5BDA">
            <w:pPr>
              <w:rPr>
                <w:b/>
                <w:bCs/>
              </w:rPr>
            </w:pPr>
            <w:r w:rsidRPr="2F876A9B">
              <w:rPr>
                <w:b/>
                <w:bCs/>
              </w:rPr>
              <w:t>Community based services</w:t>
            </w:r>
          </w:p>
        </w:tc>
        <w:tc>
          <w:tcPr>
            <w:tcW w:w="5955" w:type="dxa"/>
          </w:tcPr>
          <w:p w14:paraId="4CE0A5D6" w14:textId="77777777" w:rsidR="00B70B02" w:rsidRDefault="00B70B02" w:rsidP="001A5BDA">
            <w:r>
              <w:t>Using 4 weeks of diaries for each ES being reviewed, calculate the percentage of their time which is spent in community (number of hours spent in community divided by total number of hours worked per week x 100 = community percentage per week). Use these figures to create a mean/average amount of time spent in community across the ES’s.</w:t>
            </w:r>
          </w:p>
          <w:p w14:paraId="6146D948" w14:textId="77777777" w:rsidR="00B70B02" w:rsidRDefault="00B70B02" w:rsidP="001A5BDA"/>
          <w:p w14:paraId="760A977D" w14:textId="77777777" w:rsidR="00B70B02" w:rsidRDefault="00B70B02" w:rsidP="00A77CB0">
            <w:pPr>
              <w:pStyle w:val="ListParagraph"/>
              <w:numPr>
                <w:ilvl w:val="0"/>
                <w:numId w:val="1"/>
              </w:numPr>
              <w:spacing w:after="0" w:line="240" w:lineRule="auto"/>
              <w:rPr>
                <w:rFonts w:eastAsiaTheme="minorEastAsia"/>
              </w:rPr>
            </w:pPr>
            <w:r>
              <w:t>Use the IPS fidelity manual to determine what is included as a community venue</w:t>
            </w:r>
          </w:p>
        </w:tc>
        <w:tc>
          <w:tcPr>
            <w:tcW w:w="5460" w:type="dxa"/>
          </w:tcPr>
          <w:p w14:paraId="0F628BAD" w14:textId="77777777" w:rsidR="00B70B02" w:rsidRDefault="00B70B02" w:rsidP="001A5BDA"/>
        </w:tc>
      </w:tr>
    </w:tbl>
    <w:p w14:paraId="3F6C32FA" w14:textId="77777777" w:rsidR="00B70B02" w:rsidRDefault="00B70B02" w:rsidP="00B70B02"/>
    <w:p w14:paraId="4ECC2F78" w14:textId="6D9ABFC7" w:rsidR="00546D7A" w:rsidRPr="00F305FD" w:rsidRDefault="00546D7A" w:rsidP="008D7BE5">
      <w:pPr>
        <w:rPr>
          <w:rFonts w:ascii="Arial" w:hAnsi="Arial" w:cs="Arial"/>
          <w:color w:val="1D3054"/>
          <w:sz w:val="22"/>
          <w:szCs w:val="22"/>
        </w:rPr>
      </w:pPr>
    </w:p>
    <w:p w14:paraId="501A7774" w14:textId="77777777" w:rsidR="000B0F2D" w:rsidRPr="000B0F2D" w:rsidRDefault="000B0F2D" w:rsidP="000B0F2D">
      <w:pPr>
        <w:textAlignment w:val="baseline"/>
        <w:rPr>
          <w:rFonts w:ascii="Segoe UI" w:eastAsia="Times New Roman" w:hAnsi="Segoe UI" w:cs="Segoe UI"/>
          <w:sz w:val="18"/>
          <w:szCs w:val="18"/>
          <w:lang w:eastAsia="en-GB"/>
        </w:rPr>
      </w:pPr>
      <w:r w:rsidRPr="000B0F2D">
        <w:rPr>
          <w:rFonts w:ascii="Arial" w:eastAsia="Times New Roman" w:hAnsi="Arial" w:cs="Arial"/>
          <w:sz w:val="22"/>
          <w:szCs w:val="22"/>
          <w:lang w:eastAsia="en-GB"/>
        </w:rPr>
        <w:t> </w:t>
      </w:r>
    </w:p>
    <w:p w14:paraId="2265873E" w14:textId="77777777" w:rsidR="000B0F2D" w:rsidRPr="000B0F2D" w:rsidRDefault="000B0F2D" w:rsidP="000B0F2D">
      <w:pPr>
        <w:jc w:val="right"/>
        <w:textAlignment w:val="baseline"/>
        <w:rPr>
          <w:rFonts w:ascii="Segoe UI" w:eastAsia="Times New Roman" w:hAnsi="Segoe UI" w:cs="Segoe UI"/>
          <w:sz w:val="18"/>
          <w:szCs w:val="18"/>
          <w:lang w:eastAsia="en-GB"/>
        </w:rPr>
      </w:pPr>
      <w:r w:rsidRPr="000B0F2D">
        <w:rPr>
          <w:rFonts w:ascii="Arial" w:eastAsia="Times New Roman" w:hAnsi="Arial" w:cs="Arial"/>
          <w:sz w:val="22"/>
          <w:szCs w:val="22"/>
          <w:lang w:eastAsia="en-GB"/>
        </w:rPr>
        <w:t> </w:t>
      </w:r>
    </w:p>
    <w:p w14:paraId="0C8C614C" w14:textId="03A72E99" w:rsidR="00A144FC" w:rsidRPr="000B0F2D" w:rsidRDefault="000B0F2D" w:rsidP="004A7CB3">
      <w:pPr>
        <w:textAlignment w:val="baseline"/>
        <w:rPr>
          <w:rFonts w:ascii="Segoe UI" w:eastAsia="Times New Roman" w:hAnsi="Segoe UI" w:cs="Segoe UI"/>
          <w:sz w:val="18"/>
          <w:szCs w:val="18"/>
          <w:lang w:eastAsia="en-GB"/>
        </w:rPr>
      </w:pPr>
      <w:r w:rsidRPr="000B0F2D">
        <w:rPr>
          <w:rFonts w:ascii="Arial" w:eastAsia="Times New Roman" w:hAnsi="Arial" w:cs="Arial"/>
          <w:sz w:val="22"/>
          <w:szCs w:val="22"/>
          <w:lang w:eastAsia="en-GB"/>
        </w:rPr>
        <w:t> </w:t>
      </w:r>
    </w:p>
    <w:p w14:paraId="5482E5A8" w14:textId="77777777" w:rsidR="00F26672" w:rsidRPr="00F305FD" w:rsidRDefault="00F26672" w:rsidP="00BB66AB">
      <w:pPr>
        <w:rPr>
          <w:rFonts w:ascii="Arial" w:hAnsi="Arial" w:cs="Arial"/>
          <w:b/>
          <w:bCs/>
          <w:color w:val="1D3054"/>
          <w:sz w:val="22"/>
          <w:szCs w:val="22"/>
        </w:rPr>
      </w:pPr>
    </w:p>
    <w:sectPr w:rsidR="00F26672" w:rsidRPr="00F305FD" w:rsidSect="008D5C7A">
      <w:headerReference w:type="default" r:id="rId11"/>
      <w:pgSz w:w="16840" w:h="11900" w:orient="landscape"/>
      <w:pgMar w:top="1440" w:right="153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15803" w14:textId="77777777" w:rsidR="008F5AAA" w:rsidRDefault="008F5AAA" w:rsidP="00F83ECA">
      <w:r>
        <w:separator/>
      </w:r>
    </w:p>
  </w:endnote>
  <w:endnote w:type="continuationSeparator" w:id="0">
    <w:p w14:paraId="01801434" w14:textId="77777777" w:rsidR="008F5AAA" w:rsidRDefault="008F5AAA" w:rsidP="00F83ECA">
      <w:r>
        <w:continuationSeparator/>
      </w:r>
    </w:p>
  </w:endnote>
  <w:endnote w:type="continuationNotice" w:id="1">
    <w:p w14:paraId="23583B8C" w14:textId="77777777" w:rsidR="008F5AAA" w:rsidRDefault="008F5A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2D2F4" w14:textId="77777777" w:rsidR="008F5AAA" w:rsidRDefault="008F5AAA" w:rsidP="00F83ECA">
      <w:r>
        <w:separator/>
      </w:r>
    </w:p>
  </w:footnote>
  <w:footnote w:type="continuationSeparator" w:id="0">
    <w:p w14:paraId="570C3166" w14:textId="77777777" w:rsidR="008F5AAA" w:rsidRDefault="008F5AAA" w:rsidP="00F83ECA">
      <w:r>
        <w:continuationSeparator/>
      </w:r>
    </w:p>
  </w:footnote>
  <w:footnote w:type="continuationNotice" w:id="1">
    <w:p w14:paraId="0D0449E5" w14:textId="77777777" w:rsidR="008F5AAA" w:rsidRDefault="008F5A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59D2" w14:textId="17C78789" w:rsidR="00F83ECA" w:rsidRDefault="008D5C7A">
    <w:pPr>
      <w:pStyle w:val="Header"/>
    </w:pPr>
    <w:r>
      <w:rPr>
        <w:noProof/>
        <w:lang w:eastAsia="en-GB"/>
      </w:rPr>
      <mc:AlternateContent>
        <mc:Choice Requires="wps">
          <w:drawing>
            <wp:anchor distT="0" distB="0" distL="114300" distR="114300" simplePos="0" relativeHeight="251660289" behindDoc="0" locked="0" layoutInCell="1" allowOverlap="1" wp14:anchorId="5CA73FE0" wp14:editId="3D111CF0">
              <wp:simplePos x="0" y="0"/>
              <wp:positionH relativeFrom="column">
                <wp:posOffset>2419311</wp:posOffset>
              </wp:positionH>
              <wp:positionV relativeFrom="paragraph">
                <wp:posOffset>452198</wp:posOffset>
              </wp:positionV>
              <wp:extent cx="7772400" cy="0"/>
              <wp:effectExtent l="0" t="25400" r="25400" b="25400"/>
              <wp:wrapNone/>
              <wp:docPr id="1" name="Straight Connector 1"/>
              <wp:cNvGraphicFramePr/>
              <a:graphic xmlns:a="http://schemas.openxmlformats.org/drawingml/2006/main">
                <a:graphicData uri="http://schemas.microsoft.com/office/word/2010/wordprocessingShape">
                  <wps:wsp>
                    <wps:cNvCnPr/>
                    <wps:spPr>
                      <a:xfrm>
                        <a:off x="0" y="0"/>
                        <a:ext cx="7772400" cy="0"/>
                      </a:xfrm>
                      <a:prstGeom prst="line">
                        <a:avLst/>
                      </a:prstGeom>
                      <a:noFill/>
                      <a:ln w="44450" cap="flat" cmpd="sng" algn="ctr">
                        <a:solidFill>
                          <a:srgbClr val="0C6E91"/>
                        </a:solidFill>
                        <a:prstDash val="solid"/>
                        <a:miter lim="800000"/>
                      </a:ln>
                      <a:effectLst/>
                    </wps:spPr>
                    <wps:bodyPr/>
                  </wps:wsp>
                </a:graphicData>
              </a:graphic>
            </wp:anchor>
          </w:drawing>
        </mc:Choice>
        <mc:Fallback>
          <w:pict>
            <v:line w14:anchorId="0094C964" id="Straight Connector 1" o:spid="_x0000_s1026" style="position:absolute;z-index:251660289;visibility:visible;mso-wrap-style:square;mso-wrap-distance-left:9pt;mso-wrap-distance-top:0;mso-wrap-distance-right:9pt;mso-wrap-distance-bottom:0;mso-position-horizontal:absolute;mso-position-horizontal-relative:text;mso-position-vertical:absolute;mso-position-vertical-relative:text" from="190.5pt,35.6pt" to="802.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" strokecolor="#0c6e91" strokeweight="3.5pt">
              <v:stroke joinstyle="miter"/>
            </v:line>
          </w:pict>
        </mc:Fallback>
      </mc:AlternateContent>
    </w:r>
    <w:r w:rsidR="003F45CE">
      <w:rPr>
        <w:noProof/>
        <w:lang w:eastAsia="en-GB"/>
      </w:rPr>
      <w:drawing>
        <wp:anchor distT="0" distB="0" distL="114300" distR="114300" simplePos="0" relativeHeight="251658241" behindDoc="0" locked="0" layoutInCell="1" allowOverlap="1" wp14:anchorId="482268D4" wp14:editId="47F25647">
          <wp:simplePos x="0" y="0"/>
          <wp:positionH relativeFrom="column">
            <wp:posOffset>-552450</wp:posOffset>
          </wp:positionH>
          <wp:positionV relativeFrom="paragraph">
            <wp:posOffset>-228600</wp:posOffset>
          </wp:positionV>
          <wp:extent cx="1118442" cy="519418"/>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01.jpg"/>
                  <pic:cNvPicPr/>
                </pic:nvPicPr>
                <pic:blipFill>
                  <a:blip r:embed="rId1">
                    <a:extLst>
                      <a:ext uri="{28A0092B-C50C-407E-A947-70E740481C1C}">
                        <a14:useLocalDpi xmlns:a14="http://schemas.microsoft.com/office/drawing/2010/main" val="0"/>
                      </a:ext>
                    </a:extLst>
                  </a:blip>
                  <a:stretch>
                    <a:fillRect/>
                  </a:stretch>
                </pic:blipFill>
                <pic:spPr>
                  <a:xfrm>
                    <a:off x="0" y="0"/>
                    <a:ext cx="1121969" cy="521056"/>
                  </a:xfrm>
                  <a:prstGeom prst="rect">
                    <a:avLst/>
                  </a:prstGeom>
                </pic:spPr>
              </pic:pic>
            </a:graphicData>
          </a:graphic>
          <wp14:sizeRelH relativeFrom="page">
            <wp14:pctWidth>0</wp14:pctWidth>
          </wp14:sizeRelH>
          <wp14:sizeRelV relativeFrom="page">
            <wp14:pctHeight>0</wp14:pctHeight>
          </wp14:sizeRelV>
        </wp:anchor>
      </w:drawing>
    </w:r>
    <w:r w:rsidR="00F83ECA">
      <w:rPr>
        <w:noProof/>
        <w:lang w:eastAsia="en-GB"/>
      </w:rPr>
      <mc:AlternateContent>
        <mc:Choice Requires="wps">
          <w:drawing>
            <wp:anchor distT="0" distB="0" distL="114300" distR="114300" simplePos="0" relativeHeight="251658240" behindDoc="0" locked="0" layoutInCell="1" allowOverlap="1" wp14:anchorId="09368F37" wp14:editId="5370A23C">
              <wp:simplePos x="0" y="0"/>
              <wp:positionH relativeFrom="column">
                <wp:posOffset>-983615</wp:posOffset>
              </wp:positionH>
              <wp:positionV relativeFrom="paragraph">
                <wp:posOffset>453016</wp:posOffset>
              </wp:positionV>
              <wp:extent cx="7772400" cy="0"/>
              <wp:effectExtent l="0" t="25400" r="25400" b="254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44450">
                        <a:solidFill>
                          <a:srgbClr val="0C6E9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57FD0"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7.45pt,35.65pt" to="534.5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" strokecolor="#0c6e91" strokeweight="3.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2A77"/>
    <w:multiLevelType w:val="hybridMultilevel"/>
    <w:tmpl w:val="FFFFFFFF"/>
    <w:lvl w:ilvl="0" w:tplc="90FE0E26">
      <w:start w:val="1"/>
      <w:numFmt w:val="bullet"/>
      <w:lvlText w:val=""/>
      <w:lvlJc w:val="left"/>
      <w:pPr>
        <w:ind w:left="720" w:hanging="360"/>
      </w:pPr>
      <w:rPr>
        <w:rFonts w:ascii="Symbol" w:hAnsi="Symbol" w:hint="default"/>
      </w:rPr>
    </w:lvl>
    <w:lvl w:ilvl="1" w:tplc="025E1B9A">
      <w:start w:val="1"/>
      <w:numFmt w:val="bullet"/>
      <w:lvlText w:val="o"/>
      <w:lvlJc w:val="left"/>
      <w:pPr>
        <w:ind w:left="1440" w:hanging="360"/>
      </w:pPr>
      <w:rPr>
        <w:rFonts w:ascii="Courier New" w:hAnsi="Courier New" w:hint="default"/>
      </w:rPr>
    </w:lvl>
    <w:lvl w:ilvl="2" w:tplc="297AA47A">
      <w:start w:val="1"/>
      <w:numFmt w:val="bullet"/>
      <w:lvlText w:val=""/>
      <w:lvlJc w:val="left"/>
      <w:pPr>
        <w:ind w:left="2160" w:hanging="360"/>
      </w:pPr>
      <w:rPr>
        <w:rFonts w:ascii="Wingdings" w:hAnsi="Wingdings" w:hint="default"/>
      </w:rPr>
    </w:lvl>
    <w:lvl w:ilvl="3" w:tplc="4FE2FB58">
      <w:start w:val="1"/>
      <w:numFmt w:val="bullet"/>
      <w:lvlText w:val=""/>
      <w:lvlJc w:val="left"/>
      <w:pPr>
        <w:ind w:left="2880" w:hanging="360"/>
      </w:pPr>
      <w:rPr>
        <w:rFonts w:ascii="Symbol" w:hAnsi="Symbol" w:hint="default"/>
      </w:rPr>
    </w:lvl>
    <w:lvl w:ilvl="4" w:tplc="F2D0D888">
      <w:start w:val="1"/>
      <w:numFmt w:val="bullet"/>
      <w:lvlText w:val="o"/>
      <w:lvlJc w:val="left"/>
      <w:pPr>
        <w:ind w:left="3600" w:hanging="360"/>
      </w:pPr>
      <w:rPr>
        <w:rFonts w:ascii="Courier New" w:hAnsi="Courier New" w:hint="default"/>
      </w:rPr>
    </w:lvl>
    <w:lvl w:ilvl="5" w:tplc="5A6A04A6">
      <w:start w:val="1"/>
      <w:numFmt w:val="bullet"/>
      <w:lvlText w:val=""/>
      <w:lvlJc w:val="left"/>
      <w:pPr>
        <w:ind w:left="4320" w:hanging="360"/>
      </w:pPr>
      <w:rPr>
        <w:rFonts w:ascii="Wingdings" w:hAnsi="Wingdings" w:hint="default"/>
      </w:rPr>
    </w:lvl>
    <w:lvl w:ilvl="6" w:tplc="9ADA25AA">
      <w:start w:val="1"/>
      <w:numFmt w:val="bullet"/>
      <w:lvlText w:val=""/>
      <w:lvlJc w:val="left"/>
      <w:pPr>
        <w:ind w:left="5040" w:hanging="360"/>
      </w:pPr>
      <w:rPr>
        <w:rFonts w:ascii="Symbol" w:hAnsi="Symbol" w:hint="default"/>
      </w:rPr>
    </w:lvl>
    <w:lvl w:ilvl="7" w:tplc="40AEC814">
      <w:start w:val="1"/>
      <w:numFmt w:val="bullet"/>
      <w:lvlText w:val="o"/>
      <w:lvlJc w:val="left"/>
      <w:pPr>
        <w:ind w:left="5760" w:hanging="360"/>
      </w:pPr>
      <w:rPr>
        <w:rFonts w:ascii="Courier New" w:hAnsi="Courier New" w:hint="default"/>
      </w:rPr>
    </w:lvl>
    <w:lvl w:ilvl="8" w:tplc="4E48BA16">
      <w:start w:val="1"/>
      <w:numFmt w:val="bullet"/>
      <w:lvlText w:val=""/>
      <w:lvlJc w:val="left"/>
      <w:pPr>
        <w:ind w:left="6480" w:hanging="360"/>
      </w:pPr>
      <w:rPr>
        <w:rFonts w:ascii="Wingdings" w:hAnsi="Wingdings" w:hint="default"/>
      </w:rPr>
    </w:lvl>
  </w:abstractNum>
  <w:abstractNum w:abstractNumId="1" w15:restartNumberingAfterBreak="0">
    <w:nsid w:val="52EF5734"/>
    <w:multiLevelType w:val="hybridMultilevel"/>
    <w:tmpl w:val="FFFFFFFF"/>
    <w:lvl w:ilvl="0" w:tplc="51CA2B7A">
      <w:start w:val="1"/>
      <w:numFmt w:val="bullet"/>
      <w:lvlText w:val=""/>
      <w:lvlJc w:val="left"/>
      <w:pPr>
        <w:ind w:left="720" w:hanging="360"/>
      </w:pPr>
      <w:rPr>
        <w:rFonts w:ascii="Symbol" w:hAnsi="Symbol" w:hint="default"/>
      </w:rPr>
    </w:lvl>
    <w:lvl w:ilvl="1" w:tplc="43D6B8D6">
      <w:start w:val="1"/>
      <w:numFmt w:val="bullet"/>
      <w:lvlText w:val="o"/>
      <w:lvlJc w:val="left"/>
      <w:pPr>
        <w:ind w:left="1440" w:hanging="360"/>
      </w:pPr>
      <w:rPr>
        <w:rFonts w:ascii="Courier New" w:hAnsi="Courier New" w:hint="default"/>
      </w:rPr>
    </w:lvl>
    <w:lvl w:ilvl="2" w:tplc="67803846">
      <w:start w:val="1"/>
      <w:numFmt w:val="bullet"/>
      <w:lvlText w:val=""/>
      <w:lvlJc w:val="left"/>
      <w:pPr>
        <w:ind w:left="2160" w:hanging="360"/>
      </w:pPr>
      <w:rPr>
        <w:rFonts w:ascii="Wingdings" w:hAnsi="Wingdings" w:hint="default"/>
      </w:rPr>
    </w:lvl>
    <w:lvl w:ilvl="3" w:tplc="49385FE0">
      <w:start w:val="1"/>
      <w:numFmt w:val="bullet"/>
      <w:lvlText w:val=""/>
      <w:lvlJc w:val="left"/>
      <w:pPr>
        <w:ind w:left="2880" w:hanging="360"/>
      </w:pPr>
      <w:rPr>
        <w:rFonts w:ascii="Symbol" w:hAnsi="Symbol" w:hint="default"/>
      </w:rPr>
    </w:lvl>
    <w:lvl w:ilvl="4" w:tplc="8A1A95A0">
      <w:start w:val="1"/>
      <w:numFmt w:val="bullet"/>
      <w:lvlText w:val="o"/>
      <w:lvlJc w:val="left"/>
      <w:pPr>
        <w:ind w:left="3600" w:hanging="360"/>
      </w:pPr>
      <w:rPr>
        <w:rFonts w:ascii="Courier New" w:hAnsi="Courier New" w:hint="default"/>
      </w:rPr>
    </w:lvl>
    <w:lvl w:ilvl="5" w:tplc="9DFC5082">
      <w:start w:val="1"/>
      <w:numFmt w:val="bullet"/>
      <w:lvlText w:val=""/>
      <w:lvlJc w:val="left"/>
      <w:pPr>
        <w:ind w:left="4320" w:hanging="360"/>
      </w:pPr>
      <w:rPr>
        <w:rFonts w:ascii="Wingdings" w:hAnsi="Wingdings" w:hint="default"/>
      </w:rPr>
    </w:lvl>
    <w:lvl w:ilvl="6" w:tplc="EE00FF9A">
      <w:start w:val="1"/>
      <w:numFmt w:val="bullet"/>
      <w:lvlText w:val=""/>
      <w:lvlJc w:val="left"/>
      <w:pPr>
        <w:ind w:left="5040" w:hanging="360"/>
      </w:pPr>
      <w:rPr>
        <w:rFonts w:ascii="Symbol" w:hAnsi="Symbol" w:hint="default"/>
      </w:rPr>
    </w:lvl>
    <w:lvl w:ilvl="7" w:tplc="7C5C7ADA">
      <w:start w:val="1"/>
      <w:numFmt w:val="bullet"/>
      <w:lvlText w:val="o"/>
      <w:lvlJc w:val="left"/>
      <w:pPr>
        <w:ind w:left="5760" w:hanging="360"/>
      </w:pPr>
      <w:rPr>
        <w:rFonts w:ascii="Courier New" w:hAnsi="Courier New" w:hint="default"/>
      </w:rPr>
    </w:lvl>
    <w:lvl w:ilvl="8" w:tplc="A294981A">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4B1"/>
    <w:rsid w:val="00005B35"/>
    <w:rsid w:val="00013B49"/>
    <w:rsid w:val="000238F6"/>
    <w:rsid w:val="000413C4"/>
    <w:rsid w:val="0005433A"/>
    <w:rsid w:val="000567EE"/>
    <w:rsid w:val="00065D1F"/>
    <w:rsid w:val="00073A8A"/>
    <w:rsid w:val="00075820"/>
    <w:rsid w:val="00076C04"/>
    <w:rsid w:val="00082F3A"/>
    <w:rsid w:val="000B0F2D"/>
    <w:rsid w:val="00104E23"/>
    <w:rsid w:val="001159A7"/>
    <w:rsid w:val="001244B1"/>
    <w:rsid w:val="00144934"/>
    <w:rsid w:val="0016131C"/>
    <w:rsid w:val="00163696"/>
    <w:rsid w:val="001C4566"/>
    <w:rsid w:val="001F1703"/>
    <w:rsid w:val="002038D1"/>
    <w:rsid w:val="0021477A"/>
    <w:rsid w:val="00226EB5"/>
    <w:rsid w:val="00253FEC"/>
    <w:rsid w:val="00263E92"/>
    <w:rsid w:val="00272769"/>
    <w:rsid w:val="0027418A"/>
    <w:rsid w:val="002802E0"/>
    <w:rsid w:val="00285E3D"/>
    <w:rsid w:val="0029199B"/>
    <w:rsid w:val="002A32BD"/>
    <w:rsid w:val="002B2FDE"/>
    <w:rsid w:val="002C1BCD"/>
    <w:rsid w:val="002D0DF7"/>
    <w:rsid w:val="002E1F6C"/>
    <w:rsid w:val="002E5219"/>
    <w:rsid w:val="002F353A"/>
    <w:rsid w:val="00324E95"/>
    <w:rsid w:val="00326035"/>
    <w:rsid w:val="00334399"/>
    <w:rsid w:val="003401C9"/>
    <w:rsid w:val="0034497B"/>
    <w:rsid w:val="003559D0"/>
    <w:rsid w:val="00370E5F"/>
    <w:rsid w:val="00372DB8"/>
    <w:rsid w:val="00386CAD"/>
    <w:rsid w:val="003B188A"/>
    <w:rsid w:val="003B5DC4"/>
    <w:rsid w:val="003C43FA"/>
    <w:rsid w:val="003C5363"/>
    <w:rsid w:val="003C5A65"/>
    <w:rsid w:val="003C7942"/>
    <w:rsid w:val="003F07B1"/>
    <w:rsid w:val="003F45CE"/>
    <w:rsid w:val="0040075D"/>
    <w:rsid w:val="0041084D"/>
    <w:rsid w:val="004144AB"/>
    <w:rsid w:val="004201CB"/>
    <w:rsid w:val="004471E5"/>
    <w:rsid w:val="004552CF"/>
    <w:rsid w:val="00465155"/>
    <w:rsid w:val="00492CD1"/>
    <w:rsid w:val="004A667E"/>
    <w:rsid w:val="004A7CB3"/>
    <w:rsid w:val="004B7062"/>
    <w:rsid w:val="004B7FC0"/>
    <w:rsid w:val="005054EF"/>
    <w:rsid w:val="005224EE"/>
    <w:rsid w:val="00535B62"/>
    <w:rsid w:val="00536310"/>
    <w:rsid w:val="00545A5E"/>
    <w:rsid w:val="00546D7A"/>
    <w:rsid w:val="00564048"/>
    <w:rsid w:val="00574EC6"/>
    <w:rsid w:val="005B32E1"/>
    <w:rsid w:val="00613D6A"/>
    <w:rsid w:val="00614254"/>
    <w:rsid w:val="00632DC6"/>
    <w:rsid w:val="006508A2"/>
    <w:rsid w:val="00661F82"/>
    <w:rsid w:val="00675665"/>
    <w:rsid w:val="006923E9"/>
    <w:rsid w:val="0069247D"/>
    <w:rsid w:val="00696212"/>
    <w:rsid w:val="006A73FF"/>
    <w:rsid w:val="006C6C1E"/>
    <w:rsid w:val="006D153E"/>
    <w:rsid w:val="006F1442"/>
    <w:rsid w:val="00714CF2"/>
    <w:rsid w:val="0072763A"/>
    <w:rsid w:val="00731CF3"/>
    <w:rsid w:val="00733AC4"/>
    <w:rsid w:val="007679DA"/>
    <w:rsid w:val="007B1D9D"/>
    <w:rsid w:val="007C21BE"/>
    <w:rsid w:val="007C43D4"/>
    <w:rsid w:val="007C4CA6"/>
    <w:rsid w:val="007C58B8"/>
    <w:rsid w:val="007D4AF8"/>
    <w:rsid w:val="007E1A88"/>
    <w:rsid w:val="00807279"/>
    <w:rsid w:val="00824F6B"/>
    <w:rsid w:val="00855DE3"/>
    <w:rsid w:val="00857DB9"/>
    <w:rsid w:val="008C46C9"/>
    <w:rsid w:val="008D5C7A"/>
    <w:rsid w:val="008D7BE5"/>
    <w:rsid w:val="008E021F"/>
    <w:rsid w:val="008F5AAA"/>
    <w:rsid w:val="00920188"/>
    <w:rsid w:val="0093405F"/>
    <w:rsid w:val="0094669E"/>
    <w:rsid w:val="009651D5"/>
    <w:rsid w:val="009767BA"/>
    <w:rsid w:val="00980B45"/>
    <w:rsid w:val="0098587E"/>
    <w:rsid w:val="00987943"/>
    <w:rsid w:val="00993DA0"/>
    <w:rsid w:val="009A7235"/>
    <w:rsid w:val="009B61F8"/>
    <w:rsid w:val="009E7471"/>
    <w:rsid w:val="00A00876"/>
    <w:rsid w:val="00A12C91"/>
    <w:rsid w:val="00A144FC"/>
    <w:rsid w:val="00A24D3E"/>
    <w:rsid w:val="00A27581"/>
    <w:rsid w:val="00A56CDF"/>
    <w:rsid w:val="00A7100F"/>
    <w:rsid w:val="00A748F3"/>
    <w:rsid w:val="00A77CB0"/>
    <w:rsid w:val="00A9565F"/>
    <w:rsid w:val="00AE3C3A"/>
    <w:rsid w:val="00B04BA7"/>
    <w:rsid w:val="00B11B81"/>
    <w:rsid w:val="00B11C6A"/>
    <w:rsid w:val="00B63FD6"/>
    <w:rsid w:val="00B70B02"/>
    <w:rsid w:val="00B777C0"/>
    <w:rsid w:val="00B81E6A"/>
    <w:rsid w:val="00B85989"/>
    <w:rsid w:val="00BA042A"/>
    <w:rsid w:val="00BB66AB"/>
    <w:rsid w:val="00BB6E18"/>
    <w:rsid w:val="00C1034C"/>
    <w:rsid w:val="00C20355"/>
    <w:rsid w:val="00C47E6C"/>
    <w:rsid w:val="00C91434"/>
    <w:rsid w:val="00CD601D"/>
    <w:rsid w:val="00CD68C1"/>
    <w:rsid w:val="00CE2105"/>
    <w:rsid w:val="00CF1238"/>
    <w:rsid w:val="00D17B80"/>
    <w:rsid w:val="00D31EEC"/>
    <w:rsid w:val="00D35104"/>
    <w:rsid w:val="00D364BA"/>
    <w:rsid w:val="00D43F94"/>
    <w:rsid w:val="00D62D87"/>
    <w:rsid w:val="00D74E85"/>
    <w:rsid w:val="00D946A3"/>
    <w:rsid w:val="00D96BD3"/>
    <w:rsid w:val="00DB5EBF"/>
    <w:rsid w:val="00DC371F"/>
    <w:rsid w:val="00E07CAB"/>
    <w:rsid w:val="00E6499E"/>
    <w:rsid w:val="00E768A2"/>
    <w:rsid w:val="00E80E58"/>
    <w:rsid w:val="00EC22C7"/>
    <w:rsid w:val="00EC58C3"/>
    <w:rsid w:val="00EE4B14"/>
    <w:rsid w:val="00EF56AB"/>
    <w:rsid w:val="00F26672"/>
    <w:rsid w:val="00F27871"/>
    <w:rsid w:val="00F27B52"/>
    <w:rsid w:val="00F305FD"/>
    <w:rsid w:val="00F3511B"/>
    <w:rsid w:val="00F3532E"/>
    <w:rsid w:val="00F41E3C"/>
    <w:rsid w:val="00F46B96"/>
    <w:rsid w:val="00F52FAC"/>
    <w:rsid w:val="00F83ECA"/>
    <w:rsid w:val="00F84E3A"/>
    <w:rsid w:val="00F920AB"/>
    <w:rsid w:val="00FB4310"/>
    <w:rsid w:val="00FB66BA"/>
    <w:rsid w:val="00FE22C0"/>
    <w:rsid w:val="00FF6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79EFA"/>
  <w14:defaultImageDpi w14:val="32767"/>
  <w15:chartTrackingRefBased/>
  <w15:docId w15:val="{7069E440-8B8E-436F-BB8F-284E40E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FE22C0"/>
    <w:pPr>
      <w:outlineLvl w:val="2"/>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ECA"/>
    <w:pPr>
      <w:tabs>
        <w:tab w:val="center" w:pos="4513"/>
        <w:tab w:val="right" w:pos="9026"/>
      </w:tabs>
    </w:pPr>
  </w:style>
  <w:style w:type="character" w:customStyle="1" w:styleId="HeaderChar">
    <w:name w:val="Header Char"/>
    <w:basedOn w:val="DefaultParagraphFont"/>
    <w:link w:val="Header"/>
    <w:uiPriority w:val="99"/>
    <w:rsid w:val="00F83ECA"/>
  </w:style>
  <w:style w:type="paragraph" w:styleId="Footer">
    <w:name w:val="footer"/>
    <w:basedOn w:val="Normal"/>
    <w:link w:val="FooterChar"/>
    <w:uiPriority w:val="99"/>
    <w:unhideWhenUsed/>
    <w:rsid w:val="00F83ECA"/>
    <w:pPr>
      <w:tabs>
        <w:tab w:val="center" w:pos="4513"/>
        <w:tab w:val="right" w:pos="9026"/>
      </w:tabs>
    </w:pPr>
  </w:style>
  <w:style w:type="character" w:customStyle="1" w:styleId="FooterChar">
    <w:name w:val="Footer Char"/>
    <w:basedOn w:val="DefaultParagraphFont"/>
    <w:link w:val="Footer"/>
    <w:uiPriority w:val="99"/>
    <w:rsid w:val="00F83ECA"/>
  </w:style>
  <w:style w:type="paragraph" w:styleId="CommentText">
    <w:name w:val="annotation text"/>
    <w:basedOn w:val="Normal"/>
    <w:link w:val="CommentTextChar"/>
    <w:uiPriority w:val="99"/>
    <w:unhideWhenUsed/>
    <w:rsid w:val="00334399"/>
    <w:pPr>
      <w:jc w:val="both"/>
    </w:pPr>
    <w:rPr>
      <w:rFonts w:ascii="Trebuchet MS" w:eastAsia="Times New Roman" w:hAnsi="Trebuchet MS" w:cs="Times New Roman"/>
      <w:sz w:val="20"/>
      <w:szCs w:val="20"/>
      <w:lang w:eastAsia="en-GB"/>
    </w:rPr>
  </w:style>
  <w:style w:type="character" w:customStyle="1" w:styleId="CommentTextChar">
    <w:name w:val="Comment Text Char"/>
    <w:basedOn w:val="DefaultParagraphFont"/>
    <w:link w:val="CommentText"/>
    <w:uiPriority w:val="99"/>
    <w:rsid w:val="00334399"/>
    <w:rPr>
      <w:rFonts w:ascii="Trebuchet MS" w:eastAsia="Times New Roman" w:hAnsi="Trebuchet MS" w:cs="Times New Roman"/>
      <w:sz w:val="20"/>
      <w:szCs w:val="20"/>
      <w:lang w:eastAsia="en-GB"/>
    </w:rPr>
  </w:style>
  <w:style w:type="paragraph" w:styleId="ListParagraph">
    <w:name w:val="List Paragraph"/>
    <w:basedOn w:val="Normal"/>
    <w:uiPriority w:val="34"/>
    <w:qFormat/>
    <w:rsid w:val="00334399"/>
    <w:pPr>
      <w:spacing w:after="160" w:line="259" w:lineRule="auto"/>
      <w:ind w:left="720"/>
      <w:contextualSpacing/>
    </w:pPr>
    <w:rPr>
      <w:sz w:val="22"/>
      <w:szCs w:val="22"/>
    </w:rPr>
  </w:style>
  <w:style w:type="table" w:styleId="TableGrid">
    <w:name w:val="Table Grid"/>
    <w:basedOn w:val="TableNormal"/>
    <w:uiPriority w:val="59"/>
    <w:rsid w:val="003343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E22C0"/>
    <w:rPr>
      <w:rFonts w:ascii="Arial" w:eastAsia="Times New Roman" w:hAnsi="Arial" w:cs="Arial"/>
      <w:sz w:val="22"/>
      <w:szCs w:val="22"/>
    </w:rPr>
  </w:style>
  <w:style w:type="character" w:styleId="Hyperlink">
    <w:name w:val="Hyperlink"/>
    <w:basedOn w:val="DefaultParagraphFont"/>
    <w:uiPriority w:val="99"/>
    <w:unhideWhenUsed/>
    <w:rsid w:val="007679DA"/>
    <w:rPr>
      <w:color w:val="0563C1" w:themeColor="hyperlink"/>
      <w:u w:val="single"/>
    </w:rPr>
  </w:style>
  <w:style w:type="paragraph" w:customStyle="1" w:styleId="xmsolistparagraph">
    <w:name w:val="x_msolistparagraph"/>
    <w:basedOn w:val="Normal"/>
    <w:rsid w:val="00CD601D"/>
    <w:pPr>
      <w:spacing w:before="100" w:beforeAutospacing="1" w:after="100" w:afterAutospacing="1"/>
    </w:pPr>
    <w:rPr>
      <w:rFonts w:ascii="Calibri" w:hAnsi="Calibri" w:cs="Calibri"/>
      <w:sz w:val="22"/>
      <w:szCs w:val="22"/>
      <w:lang w:eastAsia="en-GB"/>
    </w:rPr>
  </w:style>
  <w:style w:type="paragraph" w:styleId="NormalWeb">
    <w:name w:val="Normal (Web)"/>
    <w:basedOn w:val="Normal"/>
    <w:rsid w:val="00D364BA"/>
    <w:pPr>
      <w:spacing w:before="180" w:after="180"/>
    </w:pPr>
    <w:rPr>
      <w:rFonts w:ascii="Times New Roman" w:eastAsia="Times New Roman" w:hAnsi="Times New Roman" w:cs="Times New Roman"/>
      <w:lang w:eastAsia="en-GB"/>
    </w:rPr>
  </w:style>
  <w:style w:type="character" w:customStyle="1" w:styleId="fullpost1">
    <w:name w:val="fullpost1"/>
    <w:rsid w:val="00D364BA"/>
    <w:rPr>
      <w:vanish w:val="0"/>
      <w:webHidden w:val="0"/>
      <w:specVanish w:val="0"/>
    </w:rPr>
  </w:style>
  <w:style w:type="paragraph" w:styleId="BalloonText">
    <w:name w:val="Balloon Text"/>
    <w:basedOn w:val="Normal"/>
    <w:link w:val="BalloonTextChar"/>
    <w:uiPriority w:val="99"/>
    <w:semiHidden/>
    <w:unhideWhenUsed/>
    <w:rsid w:val="00253F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FEC"/>
    <w:rPr>
      <w:rFonts w:ascii="Segoe UI" w:hAnsi="Segoe UI" w:cs="Segoe UI"/>
      <w:sz w:val="18"/>
      <w:szCs w:val="18"/>
    </w:rPr>
  </w:style>
  <w:style w:type="character" w:styleId="CommentReference">
    <w:name w:val="annotation reference"/>
    <w:basedOn w:val="DefaultParagraphFont"/>
    <w:uiPriority w:val="99"/>
    <w:semiHidden/>
    <w:unhideWhenUsed/>
    <w:rsid w:val="00253FEC"/>
    <w:rPr>
      <w:sz w:val="16"/>
      <w:szCs w:val="16"/>
    </w:rPr>
  </w:style>
  <w:style w:type="paragraph" w:styleId="FootnoteText">
    <w:name w:val="footnote text"/>
    <w:basedOn w:val="Normal"/>
    <w:link w:val="FootnoteTextChar"/>
    <w:uiPriority w:val="99"/>
    <w:semiHidden/>
    <w:unhideWhenUsed/>
    <w:rsid w:val="00253FEC"/>
    <w:rPr>
      <w:sz w:val="20"/>
      <w:szCs w:val="20"/>
    </w:rPr>
  </w:style>
  <w:style w:type="character" w:customStyle="1" w:styleId="FootnoteTextChar">
    <w:name w:val="Footnote Text Char"/>
    <w:basedOn w:val="DefaultParagraphFont"/>
    <w:link w:val="FootnoteText"/>
    <w:uiPriority w:val="99"/>
    <w:semiHidden/>
    <w:rsid w:val="00253FEC"/>
    <w:rPr>
      <w:sz w:val="20"/>
      <w:szCs w:val="20"/>
    </w:rPr>
  </w:style>
  <w:style w:type="character" w:styleId="FootnoteReference">
    <w:name w:val="footnote reference"/>
    <w:basedOn w:val="DefaultParagraphFont"/>
    <w:uiPriority w:val="99"/>
    <w:semiHidden/>
    <w:unhideWhenUsed/>
    <w:rsid w:val="00253FEC"/>
    <w:rPr>
      <w:vertAlign w:val="superscript"/>
    </w:rPr>
  </w:style>
  <w:style w:type="paragraph" w:customStyle="1" w:styleId="Default">
    <w:name w:val="Default"/>
    <w:rsid w:val="00005B35"/>
    <w:pPr>
      <w:autoSpaceDE w:val="0"/>
      <w:autoSpaceDN w:val="0"/>
      <w:adjustRightInd w:val="0"/>
    </w:pPr>
    <w:rPr>
      <w:rFonts w:ascii="Arial" w:hAnsi="Arial" w:cs="Arial"/>
      <w:color w:val="000000"/>
    </w:rPr>
  </w:style>
  <w:style w:type="character" w:styleId="UnresolvedMention">
    <w:name w:val="Unresolved Mention"/>
    <w:basedOn w:val="DefaultParagraphFont"/>
    <w:uiPriority w:val="99"/>
    <w:rsid w:val="009B61F8"/>
    <w:rPr>
      <w:color w:val="605E5C"/>
      <w:shd w:val="clear" w:color="auto" w:fill="E1DFDD"/>
    </w:rPr>
  </w:style>
  <w:style w:type="paragraph" w:customStyle="1" w:styleId="paragraph">
    <w:name w:val="paragraph"/>
    <w:basedOn w:val="Normal"/>
    <w:rsid w:val="000B0F2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B0F2D"/>
  </w:style>
  <w:style w:type="character" w:customStyle="1" w:styleId="normaltextrun">
    <w:name w:val="normaltextrun"/>
    <w:basedOn w:val="DefaultParagraphFont"/>
    <w:rsid w:val="000B0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37802">
      <w:bodyDiv w:val="1"/>
      <w:marLeft w:val="0"/>
      <w:marRight w:val="0"/>
      <w:marTop w:val="0"/>
      <w:marBottom w:val="0"/>
      <w:divBdr>
        <w:top w:val="none" w:sz="0" w:space="0" w:color="auto"/>
        <w:left w:val="none" w:sz="0" w:space="0" w:color="auto"/>
        <w:bottom w:val="none" w:sz="0" w:space="0" w:color="auto"/>
        <w:right w:val="none" w:sz="0" w:space="0" w:color="auto"/>
      </w:divBdr>
      <w:divsChild>
        <w:div w:id="313685423">
          <w:marLeft w:val="0"/>
          <w:marRight w:val="0"/>
          <w:marTop w:val="0"/>
          <w:marBottom w:val="0"/>
          <w:divBdr>
            <w:top w:val="none" w:sz="0" w:space="0" w:color="auto"/>
            <w:left w:val="none" w:sz="0" w:space="0" w:color="auto"/>
            <w:bottom w:val="none" w:sz="0" w:space="0" w:color="auto"/>
            <w:right w:val="none" w:sz="0" w:space="0" w:color="auto"/>
          </w:divBdr>
        </w:div>
        <w:div w:id="1591432466">
          <w:marLeft w:val="0"/>
          <w:marRight w:val="0"/>
          <w:marTop w:val="0"/>
          <w:marBottom w:val="0"/>
          <w:divBdr>
            <w:top w:val="none" w:sz="0" w:space="0" w:color="auto"/>
            <w:left w:val="none" w:sz="0" w:space="0" w:color="auto"/>
            <w:bottom w:val="none" w:sz="0" w:space="0" w:color="auto"/>
            <w:right w:val="none" w:sz="0" w:space="0" w:color="auto"/>
          </w:divBdr>
        </w:div>
        <w:div w:id="924074317">
          <w:marLeft w:val="0"/>
          <w:marRight w:val="0"/>
          <w:marTop w:val="0"/>
          <w:marBottom w:val="0"/>
          <w:divBdr>
            <w:top w:val="none" w:sz="0" w:space="0" w:color="auto"/>
            <w:left w:val="none" w:sz="0" w:space="0" w:color="auto"/>
            <w:bottom w:val="none" w:sz="0" w:space="0" w:color="auto"/>
            <w:right w:val="none" w:sz="0" w:space="0" w:color="auto"/>
          </w:divBdr>
        </w:div>
        <w:div w:id="896016577">
          <w:marLeft w:val="0"/>
          <w:marRight w:val="0"/>
          <w:marTop w:val="0"/>
          <w:marBottom w:val="0"/>
          <w:divBdr>
            <w:top w:val="none" w:sz="0" w:space="0" w:color="auto"/>
            <w:left w:val="none" w:sz="0" w:space="0" w:color="auto"/>
            <w:bottom w:val="none" w:sz="0" w:space="0" w:color="auto"/>
            <w:right w:val="none" w:sz="0" w:space="0" w:color="auto"/>
          </w:divBdr>
        </w:div>
        <w:div w:id="555165293">
          <w:marLeft w:val="0"/>
          <w:marRight w:val="0"/>
          <w:marTop w:val="0"/>
          <w:marBottom w:val="0"/>
          <w:divBdr>
            <w:top w:val="none" w:sz="0" w:space="0" w:color="auto"/>
            <w:left w:val="none" w:sz="0" w:space="0" w:color="auto"/>
            <w:bottom w:val="none" w:sz="0" w:space="0" w:color="auto"/>
            <w:right w:val="none" w:sz="0" w:space="0" w:color="auto"/>
          </w:divBdr>
        </w:div>
        <w:div w:id="631013000">
          <w:marLeft w:val="0"/>
          <w:marRight w:val="0"/>
          <w:marTop w:val="0"/>
          <w:marBottom w:val="0"/>
          <w:divBdr>
            <w:top w:val="none" w:sz="0" w:space="0" w:color="auto"/>
            <w:left w:val="none" w:sz="0" w:space="0" w:color="auto"/>
            <w:bottom w:val="none" w:sz="0" w:space="0" w:color="auto"/>
            <w:right w:val="none" w:sz="0" w:space="0" w:color="auto"/>
          </w:divBdr>
          <w:divsChild>
            <w:div w:id="664934839">
              <w:marLeft w:val="0"/>
              <w:marRight w:val="0"/>
              <w:marTop w:val="0"/>
              <w:marBottom w:val="0"/>
              <w:divBdr>
                <w:top w:val="none" w:sz="0" w:space="0" w:color="auto"/>
                <w:left w:val="none" w:sz="0" w:space="0" w:color="auto"/>
                <w:bottom w:val="none" w:sz="0" w:space="0" w:color="auto"/>
                <w:right w:val="none" w:sz="0" w:space="0" w:color="auto"/>
              </w:divBdr>
            </w:div>
            <w:div w:id="1556771295">
              <w:marLeft w:val="0"/>
              <w:marRight w:val="0"/>
              <w:marTop w:val="0"/>
              <w:marBottom w:val="0"/>
              <w:divBdr>
                <w:top w:val="none" w:sz="0" w:space="0" w:color="auto"/>
                <w:left w:val="none" w:sz="0" w:space="0" w:color="auto"/>
                <w:bottom w:val="none" w:sz="0" w:space="0" w:color="auto"/>
                <w:right w:val="none" w:sz="0" w:space="0" w:color="auto"/>
              </w:divBdr>
            </w:div>
          </w:divsChild>
        </w:div>
        <w:div w:id="461536607">
          <w:marLeft w:val="0"/>
          <w:marRight w:val="0"/>
          <w:marTop w:val="0"/>
          <w:marBottom w:val="0"/>
          <w:divBdr>
            <w:top w:val="none" w:sz="0" w:space="0" w:color="auto"/>
            <w:left w:val="none" w:sz="0" w:space="0" w:color="auto"/>
            <w:bottom w:val="none" w:sz="0" w:space="0" w:color="auto"/>
            <w:right w:val="none" w:sz="0" w:space="0" w:color="auto"/>
          </w:divBdr>
          <w:divsChild>
            <w:div w:id="2133863075">
              <w:marLeft w:val="0"/>
              <w:marRight w:val="0"/>
              <w:marTop w:val="0"/>
              <w:marBottom w:val="0"/>
              <w:divBdr>
                <w:top w:val="none" w:sz="0" w:space="0" w:color="auto"/>
                <w:left w:val="none" w:sz="0" w:space="0" w:color="auto"/>
                <w:bottom w:val="none" w:sz="0" w:space="0" w:color="auto"/>
                <w:right w:val="none" w:sz="0" w:space="0" w:color="auto"/>
              </w:divBdr>
            </w:div>
            <w:div w:id="1051731680">
              <w:marLeft w:val="0"/>
              <w:marRight w:val="0"/>
              <w:marTop w:val="0"/>
              <w:marBottom w:val="0"/>
              <w:divBdr>
                <w:top w:val="none" w:sz="0" w:space="0" w:color="auto"/>
                <w:left w:val="none" w:sz="0" w:space="0" w:color="auto"/>
                <w:bottom w:val="none" w:sz="0" w:space="0" w:color="auto"/>
                <w:right w:val="none" w:sz="0" w:space="0" w:color="auto"/>
              </w:divBdr>
            </w:div>
            <w:div w:id="1898468767">
              <w:marLeft w:val="0"/>
              <w:marRight w:val="0"/>
              <w:marTop w:val="0"/>
              <w:marBottom w:val="0"/>
              <w:divBdr>
                <w:top w:val="none" w:sz="0" w:space="0" w:color="auto"/>
                <w:left w:val="none" w:sz="0" w:space="0" w:color="auto"/>
                <w:bottom w:val="none" w:sz="0" w:space="0" w:color="auto"/>
                <w:right w:val="none" w:sz="0" w:space="0" w:color="auto"/>
              </w:divBdr>
            </w:div>
            <w:div w:id="1360475070">
              <w:marLeft w:val="0"/>
              <w:marRight w:val="0"/>
              <w:marTop w:val="0"/>
              <w:marBottom w:val="0"/>
              <w:divBdr>
                <w:top w:val="none" w:sz="0" w:space="0" w:color="auto"/>
                <w:left w:val="none" w:sz="0" w:space="0" w:color="auto"/>
                <w:bottom w:val="none" w:sz="0" w:space="0" w:color="auto"/>
                <w:right w:val="none" w:sz="0" w:space="0" w:color="auto"/>
              </w:divBdr>
            </w:div>
            <w:div w:id="539703828">
              <w:marLeft w:val="0"/>
              <w:marRight w:val="0"/>
              <w:marTop w:val="0"/>
              <w:marBottom w:val="0"/>
              <w:divBdr>
                <w:top w:val="none" w:sz="0" w:space="0" w:color="auto"/>
                <w:left w:val="none" w:sz="0" w:space="0" w:color="auto"/>
                <w:bottom w:val="none" w:sz="0" w:space="0" w:color="auto"/>
                <w:right w:val="none" w:sz="0" w:space="0" w:color="auto"/>
              </w:divBdr>
            </w:div>
          </w:divsChild>
        </w:div>
        <w:div w:id="1396321046">
          <w:marLeft w:val="0"/>
          <w:marRight w:val="0"/>
          <w:marTop w:val="0"/>
          <w:marBottom w:val="0"/>
          <w:divBdr>
            <w:top w:val="none" w:sz="0" w:space="0" w:color="auto"/>
            <w:left w:val="none" w:sz="0" w:space="0" w:color="auto"/>
            <w:bottom w:val="none" w:sz="0" w:space="0" w:color="auto"/>
            <w:right w:val="none" w:sz="0" w:space="0" w:color="auto"/>
          </w:divBdr>
        </w:div>
        <w:div w:id="126897150">
          <w:marLeft w:val="0"/>
          <w:marRight w:val="0"/>
          <w:marTop w:val="0"/>
          <w:marBottom w:val="0"/>
          <w:divBdr>
            <w:top w:val="none" w:sz="0" w:space="0" w:color="auto"/>
            <w:left w:val="none" w:sz="0" w:space="0" w:color="auto"/>
            <w:bottom w:val="none" w:sz="0" w:space="0" w:color="auto"/>
            <w:right w:val="none" w:sz="0" w:space="0" w:color="auto"/>
          </w:divBdr>
        </w:div>
        <w:div w:id="1965579295">
          <w:marLeft w:val="0"/>
          <w:marRight w:val="0"/>
          <w:marTop w:val="0"/>
          <w:marBottom w:val="0"/>
          <w:divBdr>
            <w:top w:val="none" w:sz="0" w:space="0" w:color="auto"/>
            <w:left w:val="none" w:sz="0" w:space="0" w:color="auto"/>
            <w:bottom w:val="none" w:sz="0" w:space="0" w:color="auto"/>
            <w:right w:val="none" w:sz="0" w:space="0" w:color="auto"/>
          </w:divBdr>
        </w:div>
        <w:div w:id="810512997">
          <w:marLeft w:val="0"/>
          <w:marRight w:val="0"/>
          <w:marTop w:val="0"/>
          <w:marBottom w:val="0"/>
          <w:divBdr>
            <w:top w:val="none" w:sz="0" w:space="0" w:color="auto"/>
            <w:left w:val="none" w:sz="0" w:space="0" w:color="auto"/>
            <w:bottom w:val="none" w:sz="0" w:space="0" w:color="auto"/>
            <w:right w:val="none" w:sz="0" w:space="0" w:color="auto"/>
          </w:divBdr>
        </w:div>
        <w:div w:id="937525118">
          <w:marLeft w:val="0"/>
          <w:marRight w:val="0"/>
          <w:marTop w:val="0"/>
          <w:marBottom w:val="0"/>
          <w:divBdr>
            <w:top w:val="none" w:sz="0" w:space="0" w:color="auto"/>
            <w:left w:val="none" w:sz="0" w:space="0" w:color="auto"/>
            <w:bottom w:val="none" w:sz="0" w:space="0" w:color="auto"/>
            <w:right w:val="none" w:sz="0" w:space="0" w:color="auto"/>
          </w:divBdr>
        </w:div>
        <w:div w:id="720714813">
          <w:marLeft w:val="0"/>
          <w:marRight w:val="0"/>
          <w:marTop w:val="0"/>
          <w:marBottom w:val="0"/>
          <w:divBdr>
            <w:top w:val="none" w:sz="0" w:space="0" w:color="auto"/>
            <w:left w:val="none" w:sz="0" w:space="0" w:color="auto"/>
            <w:bottom w:val="none" w:sz="0" w:space="0" w:color="auto"/>
            <w:right w:val="none" w:sz="0" w:space="0" w:color="auto"/>
          </w:divBdr>
        </w:div>
        <w:div w:id="87624849">
          <w:marLeft w:val="0"/>
          <w:marRight w:val="0"/>
          <w:marTop w:val="0"/>
          <w:marBottom w:val="0"/>
          <w:divBdr>
            <w:top w:val="none" w:sz="0" w:space="0" w:color="auto"/>
            <w:left w:val="none" w:sz="0" w:space="0" w:color="auto"/>
            <w:bottom w:val="none" w:sz="0" w:space="0" w:color="auto"/>
            <w:right w:val="none" w:sz="0" w:space="0" w:color="auto"/>
          </w:divBdr>
        </w:div>
        <w:div w:id="324283314">
          <w:marLeft w:val="0"/>
          <w:marRight w:val="0"/>
          <w:marTop w:val="0"/>
          <w:marBottom w:val="0"/>
          <w:divBdr>
            <w:top w:val="none" w:sz="0" w:space="0" w:color="auto"/>
            <w:left w:val="none" w:sz="0" w:space="0" w:color="auto"/>
            <w:bottom w:val="none" w:sz="0" w:space="0" w:color="auto"/>
            <w:right w:val="none" w:sz="0" w:space="0" w:color="auto"/>
          </w:divBdr>
        </w:div>
        <w:div w:id="1609194968">
          <w:marLeft w:val="0"/>
          <w:marRight w:val="0"/>
          <w:marTop w:val="0"/>
          <w:marBottom w:val="0"/>
          <w:divBdr>
            <w:top w:val="none" w:sz="0" w:space="0" w:color="auto"/>
            <w:left w:val="none" w:sz="0" w:space="0" w:color="auto"/>
            <w:bottom w:val="none" w:sz="0" w:space="0" w:color="auto"/>
            <w:right w:val="none" w:sz="0" w:space="0" w:color="auto"/>
          </w:divBdr>
        </w:div>
        <w:div w:id="1496148910">
          <w:marLeft w:val="0"/>
          <w:marRight w:val="0"/>
          <w:marTop w:val="0"/>
          <w:marBottom w:val="0"/>
          <w:divBdr>
            <w:top w:val="none" w:sz="0" w:space="0" w:color="auto"/>
            <w:left w:val="none" w:sz="0" w:space="0" w:color="auto"/>
            <w:bottom w:val="none" w:sz="0" w:space="0" w:color="auto"/>
            <w:right w:val="none" w:sz="0" w:space="0" w:color="auto"/>
          </w:divBdr>
        </w:div>
        <w:div w:id="195429568">
          <w:marLeft w:val="0"/>
          <w:marRight w:val="0"/>
          <w:marTop w:val="0"/>
          <w:marBottom w:val="0"/>
          <w:divBdr>
            <w:top w:val="none" w:sz="0" w:space="0" w:color="auto"/>
            <w:left w:val="none" w:sz="0" w:space="0" w:color="auto"/>
            <w:bottom w:val="none" w:sz="0" w:space="0" w:color="auto"/>
            <w:right w:val="none" w:sz="0" w:space="0" w:color="auto"/>
          </w:divBdr>
        </w:div>
        <w:div w:id="1169711642">
          <w:marLeft w:val="0"/>
          <w:marRight w:val="0"/>
          <w:marTop w:val="0"/>
          <w:marBottom w:val="0"/>
          <w:divBdr>
            <w:top w:val="none" w:sz="0" w:space="0" w:color="auto"/>
            <w:left w:val="none" w:sz="0" w:space="0" w:color="auto"/>
            <w:bottom w:val="none" w:sz="0" w:space="0" w:color="auto"/>
            <w:right w:val="none" w:sz="0" w:space="0" w:color="auto"/>
          </w:divBdr>
        </w:div>
        <w:div w:id="1189491579">
          <w:marLeft w:val="0"/>
          <w:marRight w:val="0"/>
          <w:marTop w:val="0"/>
          <w:marBottom w:val="0"/>
          <w:divBdr>
            <w:top w:val="none" w:sz="0" w:space="0" w:color="auto"/>
            <w:left w:val="none" w:sz="0" w:space="0" w:color="auto"/>
            <w:bottom w:val="none" w:sz="0" w:space="0" w:color="auto"/>
            <w:right w:val="none" w:sz="0" w:space="0" w:color="auto"/>
          </w:divBdr>
          <w:divsChild>
            <w:div w:id="1739404003">
              <w:marLeft w:val="-75"/>
              <w:marRight w:val="0"/>
              <w:marTop w:val="30"/>
              <w:marBottom w:val="30"/>
              <w:divBdr>
                <w:top w:val="none" w:sz="0" w:space="0" w:color="auto"/>
                <w:left w:val="none" w:sz="0" w:space="0" w:color="auto"/>
                <w:bottom w:val="none" w:sz="0" w:space="0" w:color="auto"/>
                <w:right w:val="none" w:sz="0" w:space="0" w:color="auto"/>
              </w:divBdr>
              <w:divsChild>
                <w:div w:id="790712552">
                  <w:marLeft w:val="0"/>
                  <w:marRight w:val="0"/>
                  <w:marTop w:val="0"/>
                  <w:marBottom w:val="0"/>
                  <w:divBdr>
                    <w:top w:val="none" w:sz="0" w:space="0" w:color="auto"/>
                    <w:left w:val="none" w:sz="0" w:space="0" w:color="auto"/>
                    <w:bottom w:val="none" w:sz="0" w:space="0" w:color="auto"/>
                    <w:right w:val="none" w:sz="0" w:space="0" w:color="auto"/>
                  </w:divBdr>
                  <w:divsChild>
                    <w:div w:id="587234214">
                      <w:marLeft w:val="0"/>
                      <w:marRight w:val="0"/>
                      <w:marTop w:val="0"/>
                      <w:marBottom w:val="0"/>
                      <w:divBdr>
                        <w:top w:val="none" w:sz="0" w:space="0" w:color="auto"/>
                        <w:left w:val="none" w:sz="0" w:space="0" w:color="auto"/>
                        <w:bottom w:val="none" w:sz="0" w:space="0" w:color="auto"/>
                        <w:right w:val="none" w:sz="0" w:space="0" w:color="auto"/>
                      </w:divBdr>
                    </w:div>
                  </w:divsChild>
                </w:div>
                <w:div w:id="879586002">
                  <w:marLeft w:val="0"/>
                  <w:marRight w:val="0"/>
                  <w:marTop w:val="0"/>
                  <w:marBottom w:val="0"/>
                  <w:divBdr>
                    <w:top w:val="none" w:sz="0" w:space="0" w:color="auto"/>
                    <w:left w:val="none" w:sz="0" w:space="0" w:color="auto"/>
                    <w:bottom w:val="none" w:sz="0" w:space="0" w:color="auto"/>
                    <w:right w:val="none" w:sz="0" w:space="0" w:color="auto"/>
                  </w:divBdr>
                  <w:divsChild>
                    <w:div w:id="1786459922">
                      <w:marLeft w:val="0"/>
                      <w:marRight w:val="0"/>
                      <w:marTop w:val="0"/>
                      <w:marBottom w:val="0"/>
                      <w:divBdr>
                        <w:top w:val="none" w:sz="0" w:space="0" w:color="auto"/>
                        <w:left w:val="none" w:sz="0" w:space="0" w:color="auto"/>
                        <w:bottom w:val="none" w:sz="0" w:space="0" w:color="auto"/>
                        <w:right w:val="none" w:sz="0" w:space="0" w:color="auto"/>
                      </w:divBdr>
                    </w:div>
                  </w:divsChild>
                </w:div>
                <w:div w:id="889851969">
                  <w:marLeft w:val="0"/>
                  <w:marRight w:val="0"/>
                  <w:marTop w:val="0"/>
                  <w:marBottom w:val="0"/>
                  <w:divBdr>
                    <w:top w:val="none" w:sz="0" w:space="0" w:color="auto"/>
                    <w:left w:val="none" w:sz="0" w:space="0" w:color="auto"/>
                    <w:bottom w:val="none" w:sz="0" w:space="0" w:color="auto"/>
                    <w:right w:val="none" w:sz="0" w:space="0" w:color="auto"/>
                  </w:divBdr>
                  <w:divsChild>
                    <w:div w:id="408310334">
                      <w:marLeft w:val="0"/>
                      <w:marRight w:val="0"/>
                      <w:marTop w:val="0"/>
                      <w:marBottom w:val="0"/>
                      <w:divBdr>
                        <w:top w:val="none" w:sz="0" w:space="0" w:color="auto"/>
                        <w:left w:val="none" w:sz="0" w:space="0" w:color="auto"/>
                        <w:bottom w:val="none" w:sz="0" w:space="0" w:color="auto"/>
                        <w:right w:val="none" w:sz="0" w:space="0" w:color="auto"/>
                      </w:divBdr>
                    </w:div>
                  </w:divsChild>
                </w:div>
                <w:div w:id="1014453737">
                  <w:marLeft w:val="0"/>
                  <w:marRight w:val="0"/>
                  <w:marTop w:val="0"/>
                  <w:marBottom w:val="0"/>
                  <w:divBdr>
                    <w:top w:val="none" w:sz="0" w:space="0" w:color="auto"/>
                    <w:left w:val="none" w:sz="0" w:space="0" w:color="auto"/>
                    <w:bottom w:val="none" w:sz="0" w:space="0" w:color="auto"/>
                    <w:right w:val="none" w:sz="0" w:space="0" w:color="auto"/>
                  </w:divBdr>
                  <w:divsChild>
                    <w:div w:id="492530343">
                      <w:marLeft w:val="0"/>
                      <w:marRight w:val="0"/>
                      <w:marTop w:val="0"/>
                      <w:marBottom w:val="0"/>
                      <w:divBdr>
                        <w:top w:val="none" w:sz="0" w:space="0" w:color="auto"/>
                        <w:left w:val="none" w:sz="0" w:space="0" w:color="auto"/>
                        <w:bottom w:val="none" w:sz="0" w:space="0" w:color="auto"/>
                        <w:right w:val="none" w:sz="0" w:space="0" w:color="auto"/>
                      </w:divBdr>
                    </w:div>
                  </w:divsChild>
                </w:div>
                <w:div w:id="1997489133">
                  <w:marLeft w:val="0"/>
                  <w:marRight w:val="0"/>
                  <w:marTop w:val="0"/>
                  <w:marBottom w:val="0"/>
                  <w:divBdr>
                    <w:top w:val="none" w:sz="0" w:space="0" w:color="auto"/>
                    <w:left w:val="none" w:sz="0" w:space="0" w:color="auto"/>
                    <w:bottom w:val="none" w:sz="0" w:space="0" w:color="auto"/>
                    <w:right w:val="none" w:sz="0" w:space="0" w:color="auto"/>
                  </w:divBdr>
                  <w:divsChild>
                    <w:div w:id="1661423464">
                      <w:marLeft w:val="0"/>
                      <w:marRight w:val="0"/>
                      <w:marTop w:val="0"/>
                      <w:marBottom w:val="0"/>
                      <w:divBdr>
                        <w:top w:val="none" w:sz="0" w:space="0" w:color="auto"/>
                        <w:left w:val="none" w:sz="0" w:space="0" w:color="auto"/>
                        <w:bottom w:val="none" w:sz="0" w:space="0" w:color="auto"/>
                        <w:right w:val="none" w:sz="0" w:space="0" w:color="auto"/>
                      </w:divBdr>
                    </w:div>
                  </w:divsChild>
                </w:div>
                <w:div w:id="1839034899">
                  <w:marLeft w:val="0"/>
                  <w:marRight w:val="0"/>
                  <w:marTop w:val="0"/>
                  <w:marBottom w:val="0"/>
                  <w:divBdr>
                    <w:top w:val="none" w:sz="0" w:space="0" w:color="auto"/>
                    <w:left w:val="none" w:sz="0" w:space="0" w:color="auto"/>
                    <w:bottom w:val="none" w:sz="0" w:space="0" w:color="auto"/>
                    <w:right w:val="none" w:sz="0" w:space="0" w:color="auto"/>
                  </w:divBdr>
                  <w:divsChild>
                    <w:div w:id="27880862">
                      <w:marLeft w:val="0"/>
                      <w:marRight w:val="0"/>
                      <w:marTop w:val="0"/>
                      <w:marBottom w:val="0"/>
                      <w:divBdr>
                        <w:top w:val="none" w:sz="0" w:space="0" w:color="auto"/>
                        <w:left w:val="none" w:sz="0" w:space="0" w:color="auto"/>
                        <w:bottom w:val="none" w:sz="0" w:space="0" w:color="auto"/>
                        <w:right w:val="none" w:sz="0" w:space="0" w:color="auto"/>
                      </w:divBdr>
                    </w:div>
                  </w:divsChild>
                </w:div>
                <w:div w:id="2004237236">
                  <w:marLeft w:val="0"/>
                  <w:marRight w:val="0"/>
                  <w:marTop w:val="0"/>
                  <w:marBottom w:val="0"/>
                  <w:divBdr>
                    <w:top w:val="none" w:sz="0" w:space="0" w:color="auto"/>
                    <w:left w:val="none" w:sz="0" w:space="0" w:color="auto"/>
                    <w:bottom w:val="none" w:sz="0" w:space="0" w:color="auto"/>
                    <w:right w:val="none" w:sz="0" w:space="0" w:color="auto"/>
                  </w:divBdr>
                  <w:divsChild>
                    <w:div w:id="1534272698">
                      <w:marLeft w:val="0"/>
                      <w:marRight w:val="0"/>
                      <w:marTop w:val="0"/>
                      <w:marBottom w:val="0"/>
                      <w:divBdr>
                        <w:top w:val="none" w:sz="0" w:space="0" w:color="auto"/>
                        <w:left w:val="none" w:sz="0" w:space="0" w:color="auto"/>
                        <w:bottom w:val="none" w:sz="0" w:space="0" w:color="auto"/>
                        <w:right w:val="none" w:sz="0" w:space="0" w:color="auto"/>
                      </w:divBdr>
                    </w:div>
                  </w:divsChild>
                </w:div>
                <w:div w:id="337119971">
                  <w:marLeft w:val="0"/>
                  <w:marRight w:val="0"/>
                  <w:marTop w:val="0"/>
                  <w:marBottom w:val="0"/>
                  <w:divBdr>
                    <w:top w:val="none" w:sz="0" w:space="0" w:color="auto"/>
                    <w:left w:val="none" w:sz="0" w:space="0" w:color="auto"/>
                    <w:bottom w:val="none" w:sz="0" w:space="0" w:color="auto"/>
                    <w:right w:val="none" w:sz="0" w:space="0" w:color="auto"/>
                  </w:divBdr>
                  <w:divsChild>
                    <w:div w:id="2510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6189">
          <w:marLeft w:val="0"/>
          <w:marRight w:val="0"/>
          <w:marTop w:val="0"/>
          <w:marBottom w:val="0"/>
          <w:divBdr>
            <w:top w:val="none" w:sz="0" w:space="0" w:color="auto"/>
            <w:left w:val="none" w:sz="0" w:space="0" w:color="auto"/>
            <w:bottom w:val="none" w:sz="0" w:space="0" w:color="auto"/>
            <w:right w:val="none" w:sz="0" w:space="0" w:color="auto"/>
          </w:divBdr>
        </w:div>
        <w:div w:id="581061572">
          <w:marLeft w:val="0"/>
          <w:marRight w:val="0"/>
          <w:marTop w:val="0"/>
          <w:marBottom w:val="0"/>
          <w:divBdr>
            <w:top w:val="none" w:sz="0" w:space="0" w:color="auto"/>
            <w:left w:val="none" w:sz="0" w:space="0" w:color="auto"/>
            <w:bottom w:val="none" w:sz="0" w:space="0" w:color="auto"/>
            <w:right w:val="none" w:sz="0" w:space="0" w:color="auto"/>
          </w:divBdr>
        </w:div>
        <w:div w:id="1991978273">
          <w:marLeft w:val="0"/>
          <w:marRight w:val="0"/>
          <w:marTop w:val="0"/>
          <w:marBottom w:val="0"/>
          <w:divBdr>
            <w:top w:val="none" w:sz="0" w:space="0" w:color="auto"/>
            <w:left w:val="none" w:sz="0" w:space="0" w:color="auto"/>
            <w:bottom w:val="none" w:sz="0" w:space="0" w:color="auto"/>
            <w:right w:val="none" w:sz="0" w:space="0" w:color="auto"/>
          </w:divBdr>
          <w:divsChild>
            <w:div w:id="694887836">
              <w:marLeft w:val="-75"/>
              <w:marRight w:val="0"/>
              <w:marTop w:val="30"/>
              <w:marBottom w:val="30"/>
              <w:divBdr>
                <w:top w:val="none" w:sz="0" w:space="0" w:color="auto"/>
                <w:left w:val="none" w:sz="0" w:space="0" w:color="auto"/>
                <w:bottom w:val="none" w:sz="0" w:space="0" w:color="auto"/>
                <w:right w:val="none" w:sz="0" w:space="0" w:color="auto"/>
              </w:divBdr>
              <w:divsChild>
                <w:div w:id="1267541021">
                  <w:marLeft w:val="0"/>
                  <w:marRight w:val="0"/>
                  <w:marTop w:val="0"/>
                  <w:marBottom w:val="0"/>
                  <w:divBdr>
                    <w:top w:val="none" w:sz="0" w:space="0" w:color="auto"/>
                    <w:left w:val="none" w:sz="0" w:space="0" w:color="auto"/>
                    <w:bottom w:val="none" w:sz="0" w:space="0" w:color="auto"/>
                    <w:right w:val="none" w:sz="0" w:space="0" w:color="auto"/>
                  </w:divBdr>
                  <w:divsChild>
                    <w:div w:id="1081373382">
                      <w:marLeft w:val="0"/>
                      <w:marRight w:val="0"/>
                      <w:marTop w:val="0"/>
                      <w:marBottom w:val="0"/>
                      <w:divBdr>
                        <w:top w:val="none" w:sz="0" w:space="0" w:color="auto"/>
                        <w:left w:val="none" w:sz="0" w:space="0" w:color="auto"/>
                        <w:bottom w:val="none" w:sz="0" w:space="0" w:color="auto"/>
                        <w:right w:val="none" w:sz="0" w:space="0" w:color="auto"/>
                      </w:divBdr>
                    </w:div>
                  </w:divsChild>
                </w:div>
                <w:div w:id="2009868164">
                  <w:marLeft w:val="0"/>
                  <w:marRight w:val="0"/>
                  <w:marTop w:val="0"/>
                  <w:marBottom w:val="0"/>
                  <w:divBdr>
                    <w:top w:val="none" w:sz="0" w:space="0" w:color="auto"/>
                    <w:left w:val="none" w:sz="0" w:space="0" w:color="auto"/>
                    <w:bottom w:val="none" w:sz="0" w:space="0" w:color="auto"/>
                    <w:right w:val="none" w:sz="0" w:space="0" w:color="auto"/>
                  </w:divBdr>
                  <w:divsChild>
                    <w:div w:id="2170124">
                      <w:marLeft w:val="0"/>
                      <w:marRight w:val="0"/>
                      <w:marTop w:val="0"/>
                      <w:marBottom w:val="0"/>
                      <w:divBdr>
                        <w:top w:val="none" w:sz="0" w:space="0" w:color="auto"/>
                        <w:left w:val="none" w:sz="0" w:space="0" w:color="auto"/>
                        <w:bottom w:val="none" w:sz="0" w:space="0" w:color="auto"/>
                        <w:right w:val="none" w:sz="0" w:space="0" w:color="auto"/>
                      </w:divBdr>
                    </w:div>
                  </w:divsChild>
                </w:div>
                <w:div w:id="955528254">
                  <w:marLeft w:val="0"/>
                  <w:marRight w:val="0"/>
                  <w:marTop w:val="0"/>
                  <w:marBottom w:val="0"/>
                  <w:divBdr>
                    <w:top w:val="none" w:sz="0" w:space="0" w:color="auto"/>
                    <w:left w:val="none" w:sz="0" w:space="0" w:color="auto"/>
                    <w:bottom w:val="none" w:sz="0" w:space="0" w:color="auto"/>
                    <w:right w:val="none" w:sz="0" w:space="0" w:color="auto"/>
                  </w:divBdr>
                  <w:divsChild>
                    <w:div w:id="290599007">
                      <w:marLeft w:val="0"/>
                      <w:marRight w:val="0"/>
                      <w:marTop w:val="0"/>
                      <w:marBottom w:val="0"/>
                      <w:divBdr>
                        <w:top w:val="none" w:sz="0" w:space="0" w:color="auto"/>
                        <w:left w:val="none" w:sz="0" w:space="0" w:color="auto"/>
                        <w:bottom w:val="none" w:sz="0" w:space="0" w:color="auto"/>
                        <w:right w:val="none" w:sz="0" w:space="0" w:color="auto"/>
                      </w:divBdr>
                    </w:div>
                  </w:divsChild>
                </w:div>
                <w:div w:id="2028870065">
                  <w:marLeft w:val="0"/>
                  <w:marRight w:val="0"/>
                  <w:marTop w:val="0"/>
                  <w:marBottom w:val="0"/>
                  <w:divBdr>
                    <w:top w:val="none" w:sz="0" w:space="0" w:color="auto"/>
                    <w:left w:val="none" w:sz="0" w:space="0" w:color="auto"/>
                    <w:bottom w:val="none" w:sz="0" w:space="0" w:color="auto"/>
                    <w:right w:val="none" w:sz="0" w:space="0" w:color="auto"/>
                  </w:divBdr>
                  <w:divsChild>
                    <w:div w:id="1331521363">
                      <w:marLeft w:val="0"/>
                      <w:marRight w:val="0"/>
                      <w:marTop w:val="0"/>
                      <w:marBottom w:val="0"/>
                      <w:divBdr>
                        <w:top w:val="none" w:sz="0" w:space="0" w:color="auto"/>
                        <w:left w:val="none" w:sz="0" w:space="0" w:color="auto"/>
                        <w:bottom w:val="none" w:sz="0" w:space="0" w:color="auto"/>
                        <w:right w:val="none" w:sz="0" w:space="0" w:color="auto"/>
                      </w:divBdr>
                    </w:div>
                  </w:divsChild>
                </w:div>
                <w:div w:id="1754424503">
                  <w:marLeft w:val="0"/>
                  <w:marRight w:val="0"/>
                  <w:marTop w:val="0"/>
                  <w:marBottom w:val="0"/>
                  <w:divBdr>
                    <w:top w:val="none" w:sz="0" w:space="0" w:color="auto"/>
                    <w:left w:val="none" w:sz="0" w:space="0" w:color="auto"/>
                    <w:bottom w:val="none" w:sz="0" w:space="0" w:color="auto"/>
                    <w:right w:val="none" w:sz="0" w:space="0" w:color="auto"/>
                  </w:divBdr>
                  <w:divsChild>
                    <w:div w:id="1015157577">
                      <w:marLeft w:val="0"/>
                      <w:marRight w:val="0"/>
                      <w:marTop w:val="0"/>
                      <w:marBottom w:val="0"/>
                      <w:divBdr>
                        <w:top w:val="none" w:sz="0" w:space="0" w:color="auto"/>
                        <w:left w:val="none" w:sz="0" w:space="0" w:color="auto"/>
                        <w:bottom w:val="none" w:sz="0" w:space="0" w:color="auto"/>
                        <w:right w:val="none" w:sz="0" w:space="0" w:color="auto"/>
                      </w:divBdr>
                    </w:div>
                  </w:divsChild>
                </w:div>
                <w:div w:id="67850201">
                  <w:marLeft w:val="0"/>
                  <w:marRight w:val="0"/>
                  <w:marTop w:val="0"/>
                  <w:marBottom w:val="0"/>
                  <w:divBdr>
                    <w:top w:val="none" w:sz="0" w:space="0" w:color="auto"/>
                    <w:left w:val="none" w:sz="0" w:space="0" w:color="auto"/>
                    <w:bottom w:val="none" w:sz="0" w:space="0" w:color="auto"/>
                    <w:right w:val="none" w:sz="0" w:space="0" w:color="auto"/>
                  </w:divBdr>
                  <w:divsChild>
                    <w:div w:id="1498958129">
                      <w:marLeft w:val="0"/>
                      <w:marRight w:val="0"/>
                      <w:marTop w:val="0"/>
                      <w:marBottom w:val="0"/>
                      <w:divBdr>
                        <w:top w:val="none" w:sz="0" w:space="0" w:color="auto"/>
                        <w:left w:val="none" w:sz="0" w:space="0" w:color="auto"/>
                        <w:bottom w:val="none" w:sz="0" w:space="0" w:color="auto"/>
                        <w:right w:val="none" w:sz="0" w:space="0" w:color="auto"/>
                      </w:divBdr>
                    </w:div>
                  </w:divsChild>
                </w:div>
                <w:div w:id="36273896">
                  <w:marLeft w:val="0"/>
                  <w:marRight w:val="0"/>
                  <w:marTop w:val="0"/>
                  <w:marBottom w:val="0"/>
                  <w:divBdr>
                    <w:top w:val="none" w:sz="0" w:space="0" w:color="auto"/>
                    <w:left w:val="none" w:sz="0" w:space="0" w:color="auto"/>
                    <w:bottom w:val="none" w:sz="0" w:space="0" w:color="auto"/>
                    <w:right w:val="none" w:sz="0" w:space="0" w:color="auto"/>
                  </w:divBdr>
                  <w:divsChild>
                    <w:div w:id="1600065330">
                      <w:marLeft w:val="0"/>
                      <w:marRight w:val="0"/>
                      <w:marTop w:val="0"/>
                      <w:marBottom w:val="0"/>
                      <w:divBdr>
                        <w:top w:val="none" w:sz="0" w:space="0" w:color="auto"/>
                        <w:left w:val="none" w:sz="0" w:space="0" w:color="auto"/>
                        <w:bottom w:val="none" w:sz="0" w:space="0" w:color="auto"/>
                        <w:right w:val="none" w:sz="0" w:space="0" w:color="auto"/>
                      </w:divBdr>
                    </w:div>
                  </w:divsChild>
                </w:div>
                <w:div w:id="1344821215">
                  <w:marLeft w:val="0"/>
                  <w:marRight w:val="0"/>
                  <w:marTop w:val="0"/>
                  <w:marBottom w:val="0"/>
                  <w:divBdr>
                    <w:top w:val="none" w:sz="0" w:space="0" w:color="auto"/>
                    <w:left w:val="none" w:sz="0" w:space="0" w:color="auto"/>
                    <w:bottom w:val="none" w:sz="0" w:space="0" w:color="auto"/>
                    <w:right w:val="none" w:sz="0" w:space="0" w:color="auto"/>
                  </w:divBdr>
                  <w:divsChild>
                    <w:div w:id="852572221">
                      <w:marLeft w:val="0"/>
                      <w:marRight w:val="0"/>
                      <w:marTop w:val="0"/>
                      <w:marBottom w:val="0"/>
                      <w:divBdr>
                        <w:top w:val="none" w:sz="0" w:space="0" w:color="auto"/>
                        <w:left w:val="none" w:sz="0" w:space="0" w:color="auto"/>
                        <w:bottom w:val="none" w:sz="0" w:space="0" w:color="auto"/>
                        <w:right w:val="none" w:sz="0" w:space="0" w:color="auto"/>
                      </w:divBdr>
                    </w:div>
                    <w:div w:id="43471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37601">
          <w:marLeft w:val="0"/>
          <w:marRight w:val="0"/>
          <w:marTop w:val="0"/>
          <w:marBottom w:val="0"/>
          <w:divBdr>
            <w:top w:val="none" w:sz="0" w:space="0" w:color="auto"/>
            <w:left w:val="none" w:sz="0" w:space="0" w:color="auto"/>
            <w:bottom w:val="none" w:sz="0" w:space="0" w:color="auto"/>
            <w:right w:val="none" w:sz="0" w:space="0" w:color="auto"/>
          </w:divBdr>
        </w:div>
      </w:divsChild>
    </w:div>
    <w:div w:id="919172897">
      <w:bodyDiv w:val="1"/>
      <w:marLeft w:val="0"/>
      <w:marRight w:val="0"/>
      <w:marTop w:val="0"/>
      <w:marBottom w:val="0"/>
      <w:divBdr>
        <w:top w:val="none" w:sz="0" w:space="0" w:color="auto"/>
        <w:left w:val="none" w:sz="0" w:space="0" w:color="auto"/>
        <w:bottom w:val="none" w:sz="0" w:space="0" w:color="auto"/>
        <w:right w:val="none" w:sz="0" w:space="0" w:color="auto"/>
      </w:divBdr>
      <w:divsChild>
        <w:div w:id="347370742">
          <w:marLeft w:val="547"/>
          <w:marRight w:val="0"/>
          <w:marTop w:val="0"/>
          <w:marBottom w:val="0"/>
          <w:divBdr>
            <w:top w:val="none" w:sz="0" w:space="0" w:color="auto"/>
            <w:left w:val="none" w:sz="0" w:space="0" w:color="auto"/>
            <w:bottom w:val="none" w:sz="0" w:space="0" w:color="auto"/>
            <w:right w:val="none" w:sz="0" w:space="0" w:color="auto"/>
          </w:divBdr>
        </w:div>
      </w:divsChild>
    </w:div>
    <w:div w:id="17186287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556A4BD13C744BAA9517F7A66A8330" ma:contentTypeVersion="2" ma:contentTypeDescription="Create a new document." ma:contentTypeScope="" ma:versionID="7af5856317bddbb0a8972a0f2dcc13ac">
  <xsd:schema xmlns:xsd="http://www.w3.org/2001/XMLSchema" xmlns:xs="http://www.w3.org/2001/XMLSchema" xmlns:p="http://schemas.microsoft.com/office/2006/metadata/properties" xmlns:ns3="c73f848c-e78c-4f7e-aa3d-2f4b89bd0de9" targetNamespace="http://schemas.microsoft.com/office/2006/metadata/properties" ma:root="true" ma:fieldsID="1d099e9c9e7fa9ffd1a2bdad13f2f2f9" ns3:_="">
    <xsd:import namespace="c73f848c-e78c-4f7e-aa3d-2f4b89bd0de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f848c-e78c-4f7e-aa3d-2f4b89bd0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2F974-35EB-43B8-A31A-812C6D6D2076}">
  <ds:schemaRefs>
    <ds:schemaRef ds:uri="http://schemas.microsoft.com/sharepoint/v3/contenttype/forms"/>
  </ds:schemaRefs>
</ds:datastoreItem>
</file>

<file path=customXml/itemProps2.xml><?xml version="1.0" encoding="utf-8"?>
<ds:datastoreItem xmlns:ds="http://schemas.openxmlformats.org/officeDocument/2006/customXml" ds:itemID="{3184F036-B9C0-4844-A636-52AAA75F8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69200-211A-4D9F-9680-7DA0D50EF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f848c-e78c-4f7e-aa3d-2f4b89bd0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0CD28-0F4C-4146-A8BC-54AA61DF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Links>
    <vt:vector size="30" baseType="variant">
      <vt:variant>
        <vt:i4>3735563</vt:i4>
      </vt:variant>
      <vt:variant>
        <vt:i4>12</vt:i4>
      </vt:variant>
      <vt:variant>
        <vt:i4>0</vt:i4>
      </vt:variant>
      <vt:variant>
        <vt:i4>5</vt:i4>
      </vt:variant>
      <vt:variant>
        <vt:lpwstr>mailto:lynne.miller@socialfinance.org.uk</vt:lpwstr>
      </vt:variant>
      <vt:variant>
        <vt:lpwstr/>
      </vt:variant>
      <vt:variant>
        <vt:i4>3866667</vt:i4>
      </vt:variant>
      <vt:variant>
        <vt:i4>9</vt:i4>
      </vt:variant>
      <vt:variant>
        <vt:i4>0</vt:i4>
      </vt:variant>
      <vt:variant>
        <vt:i4>5</vt:i4>
      </vt:variant>
      <vt:variant>
        <vt:lpwstr>https://dialog.elft.nhs.uk/DIALOG-scale</vt:lpwstr>
      </vt:variant>
      <vt:variant>
        <vt:lpwstr/>
      </vt:variant>
      <vt:variant>
        <vt:i4>6619196</vt:i4>
      </vt:variant>
      <vt:variant>
        <vt:i4>6</vt:i4>
      </vt:variant>
      <vt:variant>
        <vt:i4>0</vt:i4>
      </vt:variant>
      <vt:variant>
        <vt:i4>5</vt:i4>
      </vt:variant>
      <vt:variant>
        <vt:lpwstr>https://www.kingsfund.org.uk/publications/integrated-care-systems-explained</vt:lpwstr>
      </vt:variant>
      <vt:variant>
        <vt:lpwstr/>
      </vt:variant>
      <vt:variant>
        <vt:i4>1179668</vt:i4>
      </vt:variant>
      <vt:variant>
        <vt:i4>3</vt:i4>
      </vt:variant>
      <vt:variant>
        <vt:i4>0</vt:i4>
      </vt:variant>
      <vt:variant>
        <vt:i4>5</vt:i4>
      </vt:variant>
      <vt:variant>
        <vt:lpwstr>https://www.kingsfund.org.uk/publications/mental-health-primary-care-networks</vt:lpwstr>
      </vt:variant>
      <vt:variant>
        <vt:lpwstr/>
      </vt:variant>
      <vt:variant>
        <vt:i4>2424932</vt:i4>
      </vt:variant>
      <vt:variant>
        <vt:i4>0</vt:i4>
      </vt:variant>
      <vt:variant>
        <vt:i4>0</vt:i4>
      </vt:variant>
      <vt:variant>
        <vt:i4>5</vt:i4>
      </vt:variant>
      <vt:variant>
        <vt:lpwstr>https://www.england.nhs.uk/wp-content/uploads/2019/09/community-mental-health-framework-for-adults-and-older-adults.pdf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Ziggy Tuck</dc:creator>
  <cp:keywords/>
  <dc:description/>
  <cp:lastModifiedBy>Gloria Nalumansi</cp:lastModifiedBy>
  <cp:revision>2</cp:revision>
  <cp:lastPrinted>2020-12-17T15:27:00Z</cp:lastPrinted>
  <dcterms:created xsi:type="dcterms:W3CDTF">2022-01-26T16:26:00Z</dcterms:created>
  <dcterms:modified xsi:type="dcterms:W3CDTF">2022-01-26T16:26:00Z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0x010100B6556A4BD13C744BAA9517F7A66A8330</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